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fruit_voucher_affordability_rct</w:t>
      </w:r>
    </w:p>
    <w:p>
      <w:r>
        <w:t xml:space="preserve"> </w:t>
      </w:r>
    </w:p>
    <w:p>
      <w:pPr>
        <w:pStyle w:val="Heading2"/>
      </w:pPr>
      <w:r>
        <w:t>Title</w:t>
      </w:r>
    </w:p>
    <w:p>
      <w:r>
        <w:t>Cluster-randomized trial of fruit vouchers to increase fruit affordability and consumption in peri-urban and urban Nigeria and Vietnam</w:t>
      </w:r>
    </w:p>
    <w:p>
      <w:r>
        <w:t xml:space="preserve"> </w:t>
      </w:r>
    </w:p>
    <w:p>
      <w:pPr>
        <w:pStyle w:val="Heading2"/>
      </w:pPr>
      <w:r>
        <w:t>Short Hypothesis</w:t>
      </w:r>
    </w:p>
    <w:p>
      <w:r>
        <w:t>Providing monthly fruit vouchers to households increases household per-capita fruit consumption (servings/day) relative to no-voucher control.</w:t>
      </w:r>
    </w:p>
    <w:p>
      <w:r>
        <w:t xml:space="preserve"> </w:t>
      </w:r>
    </w:p>
    <w:p>
      <w:pPr>
        <w:pStyle w:val="Heading2"/>
      </w:pPr>
      <w:r>
        <w:t>Related Work</w:t>
      </w:r>
    </w:p>
    <w:p>
      <w:r>
        <w:t>Previous studies using vouchers and price subsidies in low- and middle-income settings show mixed results: some voucher pilots increased fruit consumption in specific sites while others produced no sustained change. Existing approaches often focus on household demand without systematically measuring local supply responses (prices, retailer stocking) or using objective biomarkers. Common limitations include small samples or weak cluster designs that do not control for market spillovers; reliance on single 24h recalls or surveys with high measurement error; limited pre-registration and incomplete multiple-testing control; scarce cost-effectiveness analyses; and few studies examining heterogeneity by poverty, gender, or baseline consumption. These gaps limit policy relevance for scale-up decisions and obscure whether observed effects reflect true consumption increases, substitution from other foods, resale, or price-driven supply changes.</w:t>
      </w:r>
    </w:p>
    <w:p>
      <w:r>
        <w:t xml:space="preserve"> </w:t>
      </w:r>
    </w:p>
    <w:p>
      <w:pPr>
        <w:pStyle w:val="Heading2"/>
      </w:pPr>
      <w:r>
        <w:t>Abstract</w:t>
      </w:r>
    </w:p>
    <w:p>
      <w:r>
        <w:t>This study evaluates whether monthly fruit vouchers increase fruit affordability and household fruit consumption in peri-urban and urban areas of Nigeria and Vietnam using a cluster-randomized trial. Clusters are market catchments randomized to voucher or control arms. Primary contributions are (1) rigorous causal evidence on consumption using repeated multiple-pass 24-hour recalls and a usual-intake subsample, (2) simultaneous measurement of market supply and retail prices to separate demand-driven price effects, and (3) cost-effectiveness and equity analysis including a biomarker subsample for objective intake validation. The study reports intention-to-treat effects on per-capita servings/day, affordability metrics (price per serving and expenditure share), and secondary outcomes (child intake, dietary diversity, retailer behavior, and anthropometry where feasible). Expected impact is actionable evidence for policymakers on whether vouchers change diets, alter local markets, and represent a cost-effective intervention for improving fruit consumption in urbanizing contexts.</w:t>
      </w:r>
    </w:p>
    <w:p>
      <w:r>
        <w:t xml:space="preserve"> </w:t>
      </w:r>
    </w:p>
    <w:p>
      <w:pPr>
        <w:pStyle w:val="Heading2"/>
      </w:pPr>
      <w:r>
        <w:t>Experiments</w:t>
      </w:r>
    </w:p>
    <w:p>
      <w:r>
        <w:t>Datasets: 1) Household survey panel in selected clusters in Nigeria and Vietnam (baseline, midline, endline). 2) Voucher transaction ledger (per-transaction records, household ID, retailer ID, geo-coordinates, timestamp). 3) Retailer price and stock panel (weekly price checks, weekly stockouts). 4) Biomarker subsample (serum vitamin C and plasma carotenoids) and anthropometry for children 6–59 months and women of reproductive age. 5) Administrative costing and reconciliation records. Baselines: control arm (no voucher), voucher arm (monthly value covering 50–75% of recommended fruit cost), addon arm in ablation: voucher + behavior-change communication (BCC) to test complementarity; optionally compare digital-first voucher modality vs paper fallback. Primary outcome: household per-capita fruit consumption measured in servings/day (1 serving = 80 g). Secondary outcomes: child fruit intake, dietary diversity score, household fruit expenditure share, local price per serving, retailer stockouts, redemption rate, biomarkers, child/women anthropometry, and cost per additional serving. Evaluation metrics: mean differences (servings/day), proportions meeting recommended intake, price changes (%), redemption rates (%), cost-effectiveness (cost per additional serving), biomarker concentrations (µmol/L), and clustering statistics (ICC). Experimental setup: cluster-randomized design with market-catchment clusters; blocked (stratified) randomization by country-region and urban/rural; constrained randomization to balance baseline consumption and price. Sample-plan: pilot to estimate SD and ICC then full CRT targeting 20–30 clusters per arm and 20–30 households per cluster (adjust per pilot). Dietary measurement: two non-consecutive multiple-pass 24-hour recalls per index adult and one index child at baseline and endline; a subsample of ~150–200 individuals per country with 3–4 recalls for usual-intake modeling (this estimates within-person variance). Analysis: primary analysis is intention-to-treat (ITT) using ANCOVA: endline outcome regressed on treatment indicator + baseline outcome + stratification fixed effects; report cluster-robust standard errors (standard method to account for group-level randomization). Complementary analyses: CACE/TOT via IV (assignment instrumenting voucher uptake), mixed-effects models to report ICC, event-study for price dynamics, and pre-specified subgroup heterogeneity by baseline consumption tertile, poverty, women-headed households, and distance to market. Comparison/ablation: voucher vs control, voucher+BCC vs voucher-only, digital-first vs paper voucher arms. Multiple-testing: define outcome families and apply stepdown correction within families. Pre-specify buffer definitions for spillover checks using GPS-based distance thresholds and redemption geotags. Missing data: prespecify multiple imputation and IPW analyses and report Lee bounds if differential attrition exceeds thresholds.</w:t>
      </w:r>
    </w:p>
    <w:p>
      <w:r>
        <w:t xml:space="preserve"> </w:t>
      </w:r>
    </w:p>
    <w:p>
      <w:pPr>
        <w:pStyle w:val="Heading2"/>
      </w:pPr>
      <w:r>
        <w:t>Risk Factors And Limitations</w:t>
      </w:r>
    </w:p>
    <w:p>
      <w:r>
        <w:t>Spillovers: shoppers may cross cluster boundaries or retailers may serve multiple clusters, contaminating control groups. Low take-up: households may not redeem vouchers or may resale vouchers, reducing measurable impact. Supply constraints: retailer stockouts or supplier limits may cause price increases or inability to redeem, biasing results. Measurement error: 24h recalls rely on recall and portion estimation, producing noise; usual-intake subsample helps but does not eliminate error. Attrition: panel drop-out may be differential by arm and reduce power. Biomarker logistics: cold-chain failures, lab errors, or high per-sample costs may reduce biomarker data quality or sample size. Power risks: higher-than-expected intracluster correlation (ICC) or variance will reduce detectable effects. Fraud and leakage: voucher fraud, duplicate redemptions, or weak reconciliation can bias uptake measures. Generalizability: peri-urban/urban results may not extend to rural settings or other countries. Ethics and intra-household effects: vouchers could shift intra-household allocations in unintended ways; short evaluation windows limit assessment of long-term health outcomes.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