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aging_workforce_osh_interventions</w:t>
      </w:r>
    </w:p>
    <w:p>
      <w:r>
        <w:t xml:space="preserve"> </w:t>
      </w:r>
    </w:p>
    <w:p>
      <w:pPr>
        <w:pStyle w:val="Heading2"/>
      </w:pPr>
      <w:r>
        <w:t>Title</w:t>
      </w:r>
    </w:p>
    <w:p>
      <w:r>
        <w:t>A stepped-wedge cluster study of multi-component occupational safety and health interventions on musculoskeletal disorder incidence and productivity in an ageing workforce</w:t>
      </w:r>
    </w:p>
    <w:p>
      <w:r>
        <w:t xml:space="preserve"> </w:t>
      </w:r>
    </w:p>
    <w:p>
      <w:pPr>
        <w:pStyle w:val="Heading2"/>
      </w:pPr>
      <w:r>
        <w:t>Short Hypothesis</w:t>
      </w:r>
    </w:p>
    <w:p>
      <w:r>
        <w:t>Implementing a multi-component occupational safety and health intervention (workstation redesign, mechanical assist devices, participatory training, and scheduled micro-breaks) causes a ≥20% reduction in new work-related musculoskeletal disorder incidence and a ≥5% increase in quality-adjusted productivity within 12 months compared to pre-intervention periods.</w:t>
      </w:r>
    </w:p>
    <w:p>
      <w:r>
        <w:t xml:space="preserve"> </w:t>
      </w:r>
    </w:p>
    <w:p>
      <w:pPr>
        <w:pStyle w:val="Heading2"/>
      </w:pPr>
      <w:r>
        <w:t>Related Work</w:t>
      </w:r>
    </w:p>
    <w:p>
      <w:r>
        <w:t>Prior studies typically evaluate single interventions (for example, ergonomic adjustments, lift-assist devices, or training) in isolation or in short pilots. Many use self-reported outcomes or inconsistent injury definitions, which limits comparability. Technology-focused work (wearables, exoskeletons) often reports lab-based improvements but lacks real-world productivity data. Organizational interventions (job rotation, break scheduling) show mixed effects on fatigue and output, often without age-specific analyses. Common weaknesses are small samples, short follow-up, lack of combined ergonomic-organizational-technical packages, inconsistent productivity metrics, limited adjudication of clinical cases, and sparse use of validated wearable calibration or measurement-error correction. Studies rarely co-design interventions with older workers, limiting acceptability and adoption. Overall, existing approaches do not provide robust, generalizable evidence on how combined OSH interventions affect both safety and productivity specifically in ageing workforces.</w:t>
      </w:r>
    </w:p>
    <w:p>
      <w:r>
        <w:t xml:space="preserve"> </w:t>
      </w:r>
    </w:p>
    <w:p>
      <w:pPr>
        <w:pStyle w:val="Heading2"/>
      </w:pPr>
      <w:r>
        <w:t>Abstract</w:t>
      </w:r>
    </w:p>
    <w:p>
      <w:r>
        <w:t>Older workers face higher rates of musculoskeletal disorders (MSDs) and may respond differently to workplace interventions that aim to improve safety and productivity. This study tests a multi-component occupational safety and health (OSH) intervention combining ergonomic workstation redesign, mechanical assist devices, participatory training tailored to older workers, and scheduled micro-breaks. Using a stepped-wedge cluster design, the project measures clinically-adjudicated MSD incidence and objective quality-adjusted productivity over 12 months. Main contributions are: (1) linking standardized injury adjudication and harmonized facility coding to productivity metrics; (2) validating wearable sensor-derived exposure measures in older workers and quantifying how sensor error affects exposure–response estimates; and (3) comparing full multi-component packages to component subsets to identify which elements drive safety and productivity gains. Expected outcomes include quantifiable reductions in MSD incidence and measurable productivity improvements, plus operational guidance on measurement, adjudication, and wearable use for ageing workforces. Results will inform scalable OSH practices and employer decision-making.</w:t>
      </w:r>
    </w:p>
    <w:p>
      <w:r>
        <w:t xml:space="preserve"> </w:t>
      </w:r>
    </w:p>
    <w:p>
      <w:pPr>
        <w:pStyle w:val="Heading2"/>
      </w:pPr>
      <w:r>
        <w:t>Experiments</w:t>
      </w:r>
    </w:p>
    <w:p>
      <w:r>
        <w:t>Datasets: workplace data from 3–6 clustered sites (clusters defined by work unit or floor) with eligible workers aged ≥45 and focus on older-worker strata (55+); administrative injury records with ICD-10 coding; objective productivity logs (units produced, processed claims) time-stamped by worker/shift; validated questionnaires (Nordic Musculoskeletal Questionnaire, WPAI); ergonomic observation scores (RULA/REBA — posture scoring tools that rate physical load); wearable sensor subsample n=40–60 for validation (trunk, wrist, thigh IMUs) and a larger wearables analysis subset n≈150. Baselines: (1) usual practice (no new intervention) as historical control segments; (2) single-component baselines: ergonomics-only, training-only, assistive-devices-only. Evaluation metrics: primary: relative change in new clinically-adjudicated MSD incidence (count per worker-year) and percent change in quality-adjusted productivity (units × quality rate per worker-hour). Secondary: RULA/REBA scores, absenteeism days, WPAI presenteeism, wearable-derived duty-cycle and posture angle RMSE (root mean square error), adherence/fidelity rates. Statistical setup: stepped-wedge rollout with 12 clusters (example) and repeated measures at baseline, 3, 6, 12 months; mixed-effects negative binomial model for MSD counts (negative binomial handles overdispersed counts), linear mixed model for productivity with cluster and worker random effects; include time fixed effects for steps and spline terms for nonlinear trends. Small-sample corrections: Kenward-Roger degrees-of-freedom correction and cluster wild bootstrap if cluster count &lt;16. Measurement-error analysis: validate sensor RMSE/confusion matrices and apply SIMEX (simulation extrapolation) or regression calibration to correct bias. Comparisons/ablations: full multi-component package vs each single-component baseline; wearable vs no-wearable subanalysis for exposure–response; sensitivity ablation for washout/exposure windows (14 vs 30 vs 60 vs 90/120 days) to select incident-definition windows. Pre-specified subgroup analyses: age bands (45–54, 55–64, 65+), frailty status, and job type (manual/mixed/sedentary). Report ICC, effect sizes, 95% CIs, and adherence-adjusted per-protocol estimates.</w:t>
      </w:r>
    </w:p>
    <w:p>
      <w:r>
        <w:t xml:space="preserve"> </w:t>
      </w:r>
    </w:p>
    <w:p>
      <w:pPr>
        <w:pStyle w:val="Heading2"/>
      </w:pPr>
      <w:r>
        <w:t>Risk Factors And Limitations</w:t>
      </w:r>
    </w:p>
    <w:p>
      <w:r>
        <w:t>Technical failure modes: wearable device loss, battery failure, variable sensor accuracy by body habitus or skin tone, and data synchronization errors. Data and evaluation biases: facility ICD coding variability, healthy-worker bias (sicker workers leave work), Hawthorne effects (behavior changes when observed), and selective wearable opt-in bias. Statistical limits: limited cluster counts reduce power and inference robustness; time confounding in stepped-wedge rollout if secular trends align with intervention timing. Measurement limits: attenuation of exposure–response due to wearable measurement error and imperfect adjudication agreement. Scalability and generalization: results from 3–6 sites may not generalize across industries or countries; cost and maintenance of devices may limit employer adoption. Ethical and privacy constraints: sensor data consent rates may be low, limiting sample representativeness. Operational constraints: achieving target adherence, consistent intervention delivery, and synchronized productivity logging may be difficult in real-world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