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osh_circular_ecosystem_study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A mixed-methods cross-national evaluation of a circular-ecosystem approach for improving occupational safety and health interventions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Implementing OSH interventions designed using a circular-ecosystem perspective that integrates multi-actor processes across design, implementation, evaluation, and follow-up phases causes higher implementation fidelity and larger reductions in occupational exposure rates at 12 months compared to standard single-component interventions.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work on occupational safety and health (OSH) interventions includes randomized and quasi-experimental evaluations of single-component measures (engineering controls, training, PPE) and multilevel organizational interventions; implementation science contributions define fidelity, reach, dose, and sustainability metrics; safety climate and psychosocial exposure measurement scales are widely used; social-ecological and systems approaches have been proposed conceptually. Limitations: many studies treat interventions as isolated actions rather than processes across phases; cross-national comparability is weak due to measurement non-equivalence and inconsistent exposure metrics; informal-sector and LMIC contexts are under-sampled; few studies integrate governance, data flows, and circular activities (reuse/recycling) into intervention design; implementation fidelity and long-term follow-up are often missing; actor-network dynamics and feedback loops are rarely mapped or quantitatively tested; cost-effectiveness and equity impacts are incompletely measured.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Problem: Occupational safety and health (OSH) interventions are often evaluated as isolated actions, limiting understanding of how multi-actor processes and system dynamics shape implementation and outcomes across contexts. Approach: We introduce a circular-ecosystem perspective that reconceptualizes OSH interventions as phased processes (design, implementation, evaluation, follow-up) interacting with five ecosystem elements (value, actors, data/material flows, circular activities, governance). We operationalize this perspective using a mixed-methods protocol: qualitative expert engagement (exploratory interviews, focus group, Delphi) to define constructs and items, followed by pilot cross-national field testing with harmonized exposure measures and implementation metrics. Main contribution: a validated modular instrument, cross-national ecosystem maps, and pre-specified analytic models that permit comparison of fidelity and exposure outcomes across countries and sectors. Expected outcome: evidence on whether and how ecosystem-informed interventions improve fidelity and reduce exposures, a core indicator set for cross-national OSH research, and practical guidance for policy and implementation in diverse regulatory and informal work contexts.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(1) Expert phase: n≈25 exploratory interviews + 1 focus group + Delphi panel (20–40 experts pooled) producing item pools and ecosystem maps. (2) Pilot field phase: three purposively selected countries (high-, middle-, low-income) with sentinel sampling; per country sample target = 600 workers (30 workplaces × 20 workers), workplace-level data, and administrative inspection/policy indicators where available. Exposure measures: chemical/particulate mg/m3, noise dB(A), ergonomic load proxies, standardized psychosocial scales. Baselines: (A) standard single-component interventions (engineering/training only), (B) care-as-usual/no intervention. Interventions: (I) circular-ecosystem package (multi-actor design + governance + data flows + circular activities), (II) component-only package, (III) standard care. Evaluation timeline: baseline, 6 months, 12 months. Baselines to compare against: historical pre-intervention trend (if available) and contemporaneous non-ecosystem sites. Models and metrics: primary estimand = mean change in exposure concentration and implementation fidelity % at 12 months. Use multilevel mixed-effects models (random intercepts for country and workplace; random slope for time). Explanation: a multilevel model accounts for nested data (workers within workplaces within countries). Secondary metrics: injury rate per 1000 worker-years (offset by hours worked), safety climate score change, Cronbach's alpha and CFA fit statistics for psychometrics, cost per DALY averted. Evaluation metrics include ICC, effect size (Cohen's d), 95% CI, p-values, and FDR-adjusted secondary tests. Ablation studies: (a) full ecosystem package vs ecosystem minus governance, (b) full package vs minus data/material flows, (c) full package vs component-only. Baseline comparisons: standard single-component vs ecosystem package. Robustness checks: event-study plots, placebo windows, E-values for unmeasured confounding. Psychometric tests: EFA on pilot, CFA and multi-group invariance testing across languages/countries (sample ≥200 per language group). Data quality checks: item nonresponse rates, exposure QA pass rate. All models specified in pre-analysis plan with exact variable definitions and code skeletons in R or Stan.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Measurement non-equivalence: translated scales may show differential item functioning across languages, undermining cross-country comparisons. Sampling bias: informal-sector frames may be incomplete, producing nonrepresentative samples. Attrition: worker or workplace dropout &gt;20% can reduce effective sample size and bias estimates. Confounding: inability to randomize may leave residual confounding and limit causal claims. Exposure measurement error: field sampling variability and instrument calibration issues can add noise. Scalability limits: resource and licensing costs for instruments and fieldwork may prevent scale-up. Legal/data governance: cross-border data transfer restrictions (GDPR vs national law) can limit pooling of microdata. Generalizability: pilot in three countries may not represent broader regions or sectors. Computational limits: complex multilevel/Stan models may require substantial compute time for full Bayesian inference. Ethical concerns: worker privacy and consent in informal settings may be difficult to secure.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