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unpaid_care_gender_norms_thailand</w:t>
      </w:r>
    </w:p>
    <w:p>
      <w:r>
        <w:t xml:space="preserve"> </w:t>
      </w:r>
    </w:p>
    <w:p>
      <w:pPr>
        <w:pStyle w:val="Heading2"/>
      </w:pPr>
      <w:r>
        <w:t>Title</w:t>
      </w:r>
    </w:p>
    <w:p>
      <w:r>
        <w:t>Survey-experimental analysis of the causal effect of internalized altruistic gender norms on unpaid eldercare provision in Thailand</w:t>
      </w:r>
    </w:p>
    <w:p>
      <w:r>
        <w:t xml:space="preserve"> </w:t>
      </w:r>
    </w:p>
    <w:p>
      <w:pPr>
        <w:pStyle w:val="Heading2"/>
      </w:pPr>
      <w:r>
        <w:t>Short Hypothesis</w:t>
      </w:r>
    </w:p>
    <w:p>
      <w:r>
        <w:t>Higher endorsement of altruistic gender norms that assign caregiving responsibility to women causes female caregivers to provide more weekly unpaid eldercare hours than male caregivers, conditional on elder need and caregiver capacity.</w:t>
      </w:r>
    </w:p>
    <w:p>
      <w:r>
        <w:t xml:space="preserve"> </w:t>
      </w:r>
    </w:p>
    <w:p>
      <w:pPr>
        <w:pStyle w:val="Heading2"/>
      </w:pPr>
      <w:r>
        <w:t>Related Work</w:t>
      </w:r>
    </w:p>
    <w:p>
      <w:r>
        <w:t>Existing work uses culturally adapted surveys, time-use diaries, vignettes, list experiments, and mixed methods to measure unpaid eldercare and gender norms. Prior approaches improved task-level measurement and piloted diary validation, but common limitations remain: many studies are cross-sectional and cannot separate cause from effect; measurement suffers from social desirability and differential reporting by sex; psychometric validation of gender-norm scales is often limited; few studies combine nationally representative samples with experimental modules and diary-based calibration; and analyses often omit non-coresident caregivers and intersectional heterogeneity (e.g., migration, ethnicity, SES). Causal identification strategies (instrumental variables, rollout or shock variation, preregistered vignettes) are proposed but underused or not fully validated in the Thai context.</w:t>
      </w:r>
    </w:p>
    <w:p>
      <w:r>
        <w:t xml:space="preserve"> </w:t>
      </w:r>
    </w:p>
    <w:p>
      <w:pPr>
        <w:pStyle w:val="Heading2"/>
      </w:pPr>
      <w:r>
        <w:t>Abstract</w:t>
      </w:r>
    </w:p>
    <w:p>
      <w:r>
        <w:t>This study tests whether internalized social gender norms about altruistic behavior causally affect how much unpaid care women and men provide to older adults in Thailand. We combine a nationally representative, multi-stage household survey oversampling households with adults aged 60+, a randomized factorial vignette experiment that varies caregiver gender and normative context, and a 200–300 person time-diary subsample to validate recall-based hours. The main contribution is an integrated design that links validated psychometric norms, experimental measures of normative expectations, and calibrated time-use estimates to identify moderation by caregiver sex. Analyses use survey-weighted multilevel models, preregistered interaction contrasts, and complementary quasi-experimental (IV) tests using exogenous variation in adult-child migration timing and phased program rollouts. Expected outcomes are precise estimates of how gender-norm endorsement changes weekly unpaid care hours and subjective burden for female versus male caregivers, informing policy on gender-equitable caregiver support.</w:t>
      </w:r>
    </w:p>
    <w:p>
      <w:r>
        <w:t xml:space="preserve"> </w:t>
      </w:r>
    </w:p>
    <w:p>
      <w:pPr>
        <w:pStyle w:val="Heading2"/>
      </w:pPr>
      <w:r>
        <w:t>Experiments</w:t>
      </w:r>
    </w:p>
    <w:p>
      <w:r>
        <w:t>Datasets: 1) Main cross-sectional survey: multi-stage stratified probability sample representative at national and regional levels (Bangkok, Central, North, Northeast, South), stratified by urban/rural, target 3,000–5,000 households with at least one 60+ adult; expected 1,800–2,500 caregiver observations. 2) Pilot: n≈200 households. 3) Diary validation subsample: 200–300 caregivers with 2–3 day time diaries. Modules: elder need (ADL/IADL, cognition), caregiving roster, task-level hours (24h recall weekday/weekend + 7-day recall), norms scale (8–12 Likert items), anchoring vignettes (male vs female caregiver), list experiment for one sensitive norm, PHQ-9, Zarit short form. Baselines: (A) OLS with needs/capacity covariates; (B) multilevel mixed-effects model without norm interaction; (C) multilevel model with norm×sex interaction; (D) IV models using migration timing or program rollout as instruments for caregiver availability; (E) models using proportional hour apportionment without diary calibration. Evaluation metrics: primary outcome = weekly unpaid care hours (hours/week); secondary = subjective burden (Zarit score) and caregiver depressive symptoms (PHQ-9). Psychometric metrics for norms scale: Cronbach's alpha, McDonald's omega, EFA eigenvalues, CFA fit indices (RMSEA, CFI, TLI); measurement invariance tests by sex/region/urban-rural; IRT item parameters if justified. Causal diagnostics: first-stage F-stat (&gt;10), overidentification tests, Conley sensitivity bounds, placebo outcomes, balance tests. Experimental setup: randomize vignette factorial (caregiver gender × community norm cue) with equal allocation; randomize list-experiment arms 50/50; preregister analysis plan. Ablations/Comparisons: (1) remove anchoring vignettes to measure impact on estimated norms effect; (2) replace diary-calibrated hours with proportional apportionment to quantify bias; (3) run analyses with and without IVs to compare point estimates and sensitivity. Survey design: compute and apply design weights, use replicate weights (bootstrap/BRR) for variance estimation, run multiple imputation (30–50 imputations) for missing data. Power: report MDE tables across ICCs 0.01–0.10 and design effects 1.3–2.5; target ~0.15 SD interaction detectable under central assumptions.</w:t>
      </w:r>
    </w:p>
    <w:p>
      <w:r>
        <w:t xml:space="preserve"> </w:t>
      </w:r>
    </w:p>
    <w:p>
      <w:pPr>
        <w:pStyle w:val="Heading2"/>
      </w:pPr>
      <w:r>
        <w:t>Risk Factors And Limitations</w:t>
      </w:r>
    </w:p>
    <w:p>
      <w:r>
        <w:t>Measurement error: recall bias in hours and social-desirability bias in norms can distort estimates. Diary noncompliance: low diary return or incomplete diaries reduce calibration validity. Weak instruments: migration timing or program rollouts may have weak first stages or violate exclusion (affecting elder need). Selection and nonresponse bias: differential survey participation by region, sex, or migration can bias weighted estimates. Small effect sizes: interaction effects may be smaller than power assumptions. Psychometric failure: norms scale may not show unidimensionality or invariance across subgroups. Confounding and reverse causation: cross-sectional design limits causal claims where quasi-experiments are not strong. Ethical constraints: cognitively impaired elders complicate consent and data completeness. Generalizability: findings may not transfer outside Thailand or to different cultural groups. Analytical complexity: multi-level models, IVs, and calibration increase model dependence and require transparency; mis-specification can lead to incorrect inference.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