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trade_agreements_sustainable_fisheries</w:t>
      </w:r>
    </w:p>
    <w:p>
      <w:r>
        <w:t xml:space="preserve"> </w:t>
      </w:r>
    </w:p>
    <w:p>
      <w:pPr>
        <w:pStyle w:val="Heading2"/>
      </w:pPr>
      <w:r>
        <w:t>Title</w:t>
      </w:r>
    </w:p>
    <w:p>
      <w:r>
        <w:t>Difference-in-differences analysis of the effect of trade agreements with fisheries provisions on national mean trophic level</w:t>
      </w:r>
    </w:p>
    <w:p>
      <w:r>
        <w:t xml:space="preserve"> </w:t>
      </w:r>
    </w:p>
    <w:p>
      <w:pPr>
        <w:pStyle w:val="Heading2"/>
      </w:pPr>
      <w:r>
        <w:t>Short Hypothesis</w:t>
      </w:r>
    </w:p>
    <w:p>
      <w:r>
        <w:t>Signing a free trade agreement that includes fisheries-related provisions causes an increase in the mean trophic level of a signatory country's marine landings relative to matched non-signatory countries within five years of signing.</w:t>
      </w:r>
    </w:p>
    <w:p>
      <w:r>
        <w:t xml:space="preserve"> </w:t>
      </w:r>
    </w:p>
    <w:p>
      <w:pPr>
        <w:pStyle w:val="Heading2"/>
      </w:pPr>
      <w:r>
        <w:t>Related Work</w:t>
      </w:r>
    </w:p>
    <w:p>
      <w:r>
        <w:t>Prior work uses mean trophic level (MTL) — an index that averages the food-web position of species in landings — and country-level trade or policy indicators to study fisheries sustainability. Existing empirical approaches include cross-sectional regressions, time-series correlations, and some panel fixed-effects or event-study analyses. Studies that link trade agreements to environmental outcomes often treat agreement signing as exogenous, lack careful control for pre-existing trends, or do not separate general trade liberalization from provisions explicitly about fisheries. Research on enforcement and compliance commonly relies on coarse proxies and lacks integration with trade-policy changes. Limitations in prior methods include endogeneity of agreement signing (countries that sign may already differ), measurement error in landings and MTL, weak control for spatial redistribution of effort, low observer coverage, aggregation bias when using national totals, and biased inference under staggered adoption of agreements. Few studies combine matching with difference-in-differences or test identifiability under realistic data gaps.</w:t>
      </w:r>
    </w:p>
    <w:p>
      <w:r>
        <w:t xml:space="preserve"> </w:t>
      </w:r>
    </w:p>
    <w:p>
      <w:pPr>
        <w:pStyle w:val="Heading2"/>
      </w:pPr>
      <w:r>
        <w:t>Abstract</w:t>
      </w:r>
    </w:p>
    <w:p>
      <w:r>
        <w:t>We test whether signing free trade agreements (FTAs) that include fisheries-related provisions changes the sustainability of national marine fisheries, measured by country-year mean trophic level (MTL) of landings. We combine propensity score matching (PSM) with difference-in-differences (DID) to estimate the average treatment effect on the treated (ATT) while addressing non-random selection into FTAs. The study uses global MTL and species-level landings (1950–2018) merged with a coded inventory of trade agreements (1947–2018) that flags fisheries provisions. Main contributions are: (1) a reproducible PSM+DID pipeline that reports balance diagnostics and event-study dynamics, (2) ablation comparing FTAs with and without fisheries clauses and testing enforcement proxies, and (3) scenario-based identifiability checks that mimic low observer coverage and aggregated vessel classes. Expected outcomes include robust ATT estimates of the directional effect of fisheries provisions on MTL, quantified uncertainty under realistic data gaps, and prioritized data needs for credible policy inference.</w:t>
      </w:r>
    </w:p>
    <w:p>
      <w:r>
        <w:t xml:space="preserve"> </w:t>
      </w:r>
    </w:p>
    <w:p>
      <w:pPr>
        <w:pStyle w:val="Heading2"/>
      </w:pPr>
      <w:r>
        <w:t>Experiments</w:t>
      </w:r>
    </w:p>
    <w:p>
      <w:r>
        <w:t>Datasets: (a) country-year mean trophic level (MTL) 1950–2018 computed from species landings weighted by species trophic level; (b) coded trade-agreement database 1947–2018 with binary indicator fta_fisheries_provision; (c) annual country covariates: GDP per capita (real), fishing effort proxies (vessel-days, if available), total marine landings, fuel price index, tariff-weighted seafood import exposure, enforcement proxies (observer coverage rate, AIS/VMS coverage), and environmental covariates (sea surface temperature anomaly, primary productivity). Preprocessing: harmonize country codes, compute 3-year moving averages for noisy series, compute MTL by (sum over species of landings*species_trophic_level) / total_landings. Treatment definition: country-year when a country first signs an FTA with fisheries provisions; treated units remain treated thereafter. Matching: estimate propensity score via logistic regression using pre-treatment covariates (5-year lags of GDP, effort, trade exposure, mean MTL trend, enforcement proxies); perform nearest-neighbor matching with replacement, 1:3 ratio, caliper = 0.2 SD of logit; report standardized mean differences and variance ratios; accept balance if all absolute standardized differences &lt; 0.10. Difference-in-differences: estimate two-way fixed-effects panel model on matched sample: MTL_ct = alpha_c + gamma_t + beta*Treat_ct + X_ct*delta + epsilon_ct; cluster SEs at country level. Event-study: estimate dynamic coefficients for years -5..+5 relative to signing to test parallel trends; use Sun &amp; Abraham / cohort-based estimator to account for staggered adoption. Baselines: (1) pooled OLS with covariates, (2) DID without matching, (3) synthetic control for large-country case studies, (4) panel model with enforcement proxy interaction. Ablation studies: A1 remove enforcement proxies; A2 replace fta_fisheries_provision with generic fta indicator; A3 restrict sample to high-observer-coverage countries. Evaluation metrics: ATT estimate on MTL (absolute units), clustered 95% confidence intervals, p-values; balance metrics (standardized mean differences); pre-trend coefficients and joint F-test p-value for no pre-trend; placebo tests by assigning pseudo-treatment years to controls (1000 repetitions) and report placebo p-value; RMSE of out-of-sample one-year-ahead MTL prediction on holdout; coverage of 95% CI using block bootstrap with 1000 resamples; robustness checks across heterogeneity strata (region, fisheries dependence measured as share of GDP, enforcement terciles). Implementation details: report exact matched sample sizes, number of treated units, and years; provide CSV I/O examples for matched data and DID regressions; compute bootstrap CIs with 1000 draws and cluster-by-country.</w:t>
      </w:r>
    </w:p>
    <w:p>
      <w:r>
        <w:t xml:space="preserve"> </w:t>
      </w:r>
    </w:p>
    <w:p>
      <w:pPr>
        <w:pStyle w:val="Heading2"/>
      </w:pPr>
      <w:r>
        <w:t>Risk Factors And Limitations</w:t>
      </w:r>
    </w:p>
    <w:p>
      <w:r>
        <w:t>Data quality: species-level landings are incomplete in many countries and years, producing measurement error in MTL; low observer coverage and missing AIS/VMS reduce precision in enforcement proxies. Identification: signing an FTA is endogenous; remaining unobserved confounders may bias estimates even after PSM+DID. Staggered adoption: standard two-way DID estimators can be biased when treatment timing varies across countries. Aggregation bias: national MTL masks within-country spatial redistribution of effort and fleet heterogeneity (vessel class aggregation hides fleet q differences). Weak identification: price elasticity, enforcement elasticity, and fleet-specific catchability (q) may be weakly identified under realistic data gaps and aggregation. External validity: estimated effects reflect historical agreements and may not generalize to future treaty designs or regions with very different fisheries structures. Computational limits: bootstrap and placebo ensembles across many OMs can require large HPC resources. Interpretation limits: MTL is an indirect sustainability indicator and does not uniquely capture stock status or illegal catch; causation at the ecological mechanism level (price vs enforcement) may remain unresolved.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