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modularity_data_quality_quantification</w:t>
      </w:r>
    </w:p>
    <w:p>
      <w:r>
        <w:t xml:space="preserve"> </w:t>
      </w:r>
    </w:p>
    <w:p>
      <w:pPr>
        <w:pStyle w:val="Heading2"/>
      </w:pPr>
      <w:r>
        <w:t>Title</w:t>
      </w:r>
    </w:p>
    <w:p>
      <w:r>
        <w:t>Assessing how structured industrial data and accounting-linked records improve quantification of modularity effects in product families</w:t>
      </w:r>
    </w:p>
    <w:p>
      <w:r>
        <w:t xml:space="preserve"> </w:t>
      </w:r>
    </w:p>
    <w:p>
      <w:pPr>
        <w:pStyle w:val="Heading2"/>
      </w:pPr>
      <w:r>
        <w:t>Short Hypothesis</w:t>
      </w:r>
    </w:p>
    <w:p>
      <w:r>
        <w:t>Integrating a standardized, provenance-rich data schema (BOM/PLM/ERP/MES/ECO) plus accounting-linked cost fields and a 10–20% validation subsample reduces RMSE by at least 20% when predicting lifecycle cost and cycle-time outcomes from modularity metrics, compared to models trained on legacy unstandardized data.</w:t>
      </w:r>
    </w:p>
    <w:p>
      <w:r>
        <w:t xml:space="preserve"> </w:t>
      </w:r>
    </w:p>
    <w:p>
      <w:pPr>
        <w:pStyle w:val="Heading2"/>
      </w:pPr>
      <w:r>
        <w:t>Related Work</w:t>
      </w:r>
    </w:p>
    <w:p>
      <w:r>
        <w:t>Existing approaches compute modularity using graph measures (spectral-gap, MQ/community modularity, cohesion/coupling ratios, and interface entropy) and validate with null-models (Erdős–Rényi, degree-preserving, edge-swap). Prior applied work has tried linking TDABC and ERP cost records and using DSMs (design structure matrices) mapped to shop-floor proxies. Limitations remain: industrial datasets are heterogeneous and lack standardized schemas and provenance, producing noisy or missing interface weights and multiedge records; small graphs, directed or signed edges, and eigenvalue degeneracies are not consistently handled; null-model parameterization for weighted graphs is underspecified; cost and accounting linkages are weak or absent, preventing reliable lifecycle-cost calibration; and published pipelines lack reproducible unit tests, deterministic seeds, and synthetic benchmarks with ground truth. These gaps create unstable modularity estimates, poor uncertainty calibration, and weak predictive power for operational and cost outcomes.</w:t>
      </w:r>
    </w:p>
    <w:p>
      <w:r>
        <w:t xml:space="preserve"> </w:t>
      </w:r>
    </w:p>
    <w:p>
      <w:pPr>
        <w:pStyle w:val="Heading2"/>
      </w:pPr>
      <w:r>
        <w:t>Abstract</w:t>
      </w:r>
    </w:p>
    <w:p>
      <w:r>
        <w:t>Quantifying the effects of modularity in product families is hindered by poor data quality, inconsistent schemas, missing accounting linkages, and weak validation protocols. We study whether a canonical, provenance-aware data schema that merges BOM/PLM/ERP/MES/ECO records and explicit accounting fields improves the quantifiability of modularity effects. Our approach defines standardized transformations (including documented directed/signed/self-loop rules), implements degeneracy-aware spectral-gap computation with perturbation ensembles, and prescribes imputation and errors-in-variables pipelines plus a 10–20% validation subsample. We deliver a synthetic benchmark with ground truth and pilot multi-industry datasets to evaluate performance. The main contribution is an end-to-end, testable protocol that ties modularity metrics to lifecycle cost and shop-floor outcomes and produces calibrated uncertainty estimates. We expect this protocol to increase predictive accuracy of cost and throughput models, stabilize modularity metrics under realistic data issues, and provide reproducible tools for industry benchmarking.</w:t>
      </w:r>
    </w:p>
    <w:p>
      <w:r>
        <w:t xml:space="preserve"> </w:t>
      </w:r>
    </w:p>
    <w:p>
      <w:pPr>
        <w:pStyle w:val="Heading2"/>
      </w:pPr>
      <w:r>
        <w:t>Experiments</w:t>
      </w:r>
    </w:p>
    <w:p>
      <w:r>
        <w:t>Datasets: (1) synthetic benchmark suite with known graph modularity, known edge weights, and injected cost channels; (2) three pilot industrial datasets (automotive, consumer electronics, industrial machinery) containing BOM/PLM/ERP/MES/ECO/quality logs; each dataset includes a 10–20% stratified validation subsample with time-motion/tooling observations. Baselines: A) legacy unstandardized pipeline (ad hoc weight aggregation, no provenance), B) spectral-gap-only model (δ computed on naïve adjacency), C) null-model z-score predictor (using ER/configuration without accounting fields). Models: linear fixed-effects regression, random-forest regression, and staggered-difference-in-differences (for interventions). Evaluation metrics: RMSE and R^2 for lifecycle cost and cycle_time predictions; CI coverage (proportion of true values within 90% CI); normalized CI width; bias and mean-squared error of causal DID estimates; stability metric = SD(δ) from perturbation ensemble; calibration of null-model z-scores (z mean≈0, sd≈1); computation time and memory use. Experimental setup: 5-fold cross-validation for predictive metrics; run ablation studies: (i) remove accounting-linked cost fields, (ii) remove validation subsample, (iii) replace MICE with mean imputation, (iv) alternative directed→undirected transforms ((A+A^T)/2 vs singular-value variant), (v) signed-weight strategies (absolute vs split positive/negative metrics). For synthetic data measure ground-truth recovery (bias and coverage) and required null-model simulation counts. Report results as tables of metrics and as Monte Carlo uncertainty propagation outputs (percentile CIs and Tornado plots).</w:t>
      </w:r>
    </w:p>
    <w:p>
      <w:r>
        <w:t xml:space="preserve"> </w:t>
      </w:r>
    </w:p>
    <w:p>
      <w:pPr>
        <w:pStyle w:val="Heading2"/>
      </w:pPr>
      <w:r>
        <w:t>Risk Factors And Limitations</w:t>
      </w:r>
    </w:p>
    <w:p>
      <w:r>
        <w:t>Data access and legal constraints: industrial partners may limit sharing of BOM/ERP/PLM/ECO records or cost fields, reducing sample size and representativeness. Heterogeneity: differences in measurement scales, weight units, and process definitions across firms may cause residual bias even after standardization. Small-sample/edge cases: many product families have small graphs (n&lt;10) or singleton nodes causing high estimator variance and eigenvalue degeneracies. Imputation bias: MICE or other imputation can introduce bias if predictors are weak or missingness is not at random. SIMEX/EIV corrections require reliable measurement-error variance estimates, which may be unavailable. Computational scaling: large DSM graphs (tens/hundreds of thousands of edges) can strain eigen solvers and null-model simulations; sparse solvers and parallelization are needed but add engineering complexity. Directed/signed/self-loop choices affect δ interpretation and downstream cost mappings, limiting cross-study comparability if transforms vary. Privacy: differential-privacy constraints may reduce signal in aggregated cost linkages. Generalization: results calibrated on pilot sectors may not transfer to all industries or to novel modular design paradigms.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