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shrinkflation_japan_cpi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Multimodal detection and causal estimation of shrinkflation effects on Japan's CPI using scanner, image, and trade instruments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Sustained net-weight reductions of at least 5% for 30 or more days in a SKU cause a measurable positive increase in SKU-level log unit-price relative to matched control SKUs, aggregated to a statistically significant upward shift in the corresponding CPI subindex.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used scanner and household panel data to study price changes and hidden quality shifts, event-study designs to measure dynamic treatment effects, and image/OCR methods to read packaging information. Common econometric approaches include staggered-treatment estimators (which adjust for different adoption times) and measurement-error corrections (which adjust for noisy labels). Limitations in existing approaches are: (1) reliance on single modalities (scanner-only or OCR-only) that produce false positives when labels or metadata change; (2) weak links between SKU-level detection and formal CPI adjustments; (3) scarce ground-truth image corpora with double annotation to quantify OCR/CV error and propagate it into inference; (4) underdeveloped strategies to identify consumer-awareness (how much shoppers notice size changes) and substitution elasticities needed for welfare or CPI bias calculations; (5) incomplete integration of trade/FX instruments to isolate exogenous cost shocks driving downsizing; and (6) ambiguous relaunch/reformulation rules that can bias treatment timing.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measures shrinkflation in Japan and estimates its effect on official inflation measures. We combine scanner point-of-sale data, packaging images with OCR and computer vision (CV) volumetrics, household panels, and customs/trade data to detect sustained SKU net-weight reductions. Detection uses a prespecified rule (actionable: ≥5% decline for ≥30 days) with multimodal corroboration. Causal effects are estimated with staggered-treatment event-study estimators and group-time average treatment effects; instruments include short-run JPY exchange-rate moves and commodity-price shocks to isolate exogenous cost pressures. We quantify detection performance on a stratified ground-truth corpus and propagate OCR/CV measurement error into treatment estimates using SIMEX and Monte Carlo draws (SIMEX is a method that corrects bias from measurement error). A structural micro-simulation links firm trade-offs (price rise versus downsizing) to macro CPI outcomes. The main contribution is a reproducible pipeline that maps validated SKU-level shrinkage to CPI subindex bias and provides empirically grounded bounds on consumer awareness and welfare impact.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national scanner POS panel covering major chains (SKU-level prices, UPCs, time series); (b) packaging image corpus with OCR outputs and CV volumetrics; (c) household purchase panel for substitution patterns; (d) customs tariff-line import data and commodity price indices; (e) CPI weights and HICP taxonomy. Baselines: (1) sticker-price CPI (no downsizing adjustment); (2) scanner-only shrink detection (UPC+declared weight only); (3) OCR-only detection. Detection evaluation: stratified ground-truth N=6,000 images, two independent annotators per item, senior adjudicator; report precision, recall, specificity, FPR, FNR, and AUC. Estimation: primary estimand = SKU-level average treatment effect on log unit-price (ATT) aggregated to CPI subindex via expenditure-share weights (aggregation formula: ΔCPI_sub = Σ_s w_s · ATT_s, where w_s are CPI shares). Causal methods: Sun &amp; Abraham event-study (dynamic effects; event window ±24 weeks; pre-trend test −52:−1 weeks) and Callaway &amp; Sant’Anna group-time ATT; cluster SEs at retailer-chain level; if clusters small use wild cluster bootstrap. Instrument strategy: instrument downsizing exposure with exogenous JPY FX shocks and commodity-index spikes; prespecified tests: first-stage F&gt;10, placebo outcomes, and Oster-style bounds (bounds for omitted variable bias). Measurement-error propagation: SIMEX correction and Monte Carlo with 1,000 draws sampling from empirical confusion matrix. Ablations: (A) remove CV corroboration (OCR-only), (B) vary persistence threshold {2%,5%,15%}, (C) exclude trade instruments, (D) vary consumer-awareness α scenarios {0,0.5,1} in CPI aggregation. Evaluation metrics: detection AUC/precision/recall; ATT point estimates and cluster-robust CIs; ΔCPI bias and its CI; compensating variation (welfare loss) for representative households (compensating variation = money needed to restore utility), and statistical power tables across ICCs {0.01,0.03,0.05} and cluster sizes. Reporting: pre-registered primary outcome (aggregated ΔCPI) and ranked hypothesis list, plus full replication code and simulated public data.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Scanner coverage bias: panel may under-represent small independent retailers and some e-commerce SKUs, limiting generalization. OCR/CV failures: poor image quality, multilingual labels, or unusual pack shapes can cause false negatives/positives. Relaunch misclassification: UPC changes, 'new look' messaging, or simultaneous reformulation can be mistaken for downsizing or vice versa, biasing timing. Instrument endogeneity: FX or commodity shocks may correlate with other category-specific shocks, violating exclusion restriction. Low event rates: shrinkage events may be rare in some categories, producing low power for SKU-level inference. Measurement-error propagation methods (SIMEX) rely on correct error-modeling; if the confusion matrix is misspecified, bias correction may fail. Structural model limits: identification of some parameters (e.g., demand curvature) may require strong priors and may not generalize across categories. Data access and legal constraints: customs or high-resolution scanner data may be restricted, delaying analysis. Computational cost: CV pipelines and Monte Carlo propagation require substantial compute for large SKU universes.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