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unequal_age_household_cee</w:t>
      </w:r>
    </w:p>
    <w:p>
      <w:r>
        <w:t xml:space="preserve"> </w:t>
      </w:r>
    </w:p>
    <w:p>
      <w:pPr>
        <w:pStyle w:val="Heading2"/>
      </w:pPr>
      <w:r>
        <w:t>Title</w:t>
      </w:r>
    </w:p>
    <w:p>
      <w:r>
        <w:t>Power-driven small-area estimation and causal identification of income inequality by age and household type in Central and Eastern Europe</w:t>
      </w:r>
    </w:p>
    <w:p>
      <w:r>
        <w:t xml:space="preserve"> </w:t>
      </w:r>
    </w:p>
    <w:p>
      <w:pPr>
        <w:pStyle w:val="Heading2"/>
      </w:pPr>
      <w:r>
        <w:t>Short Hypothesis</w:t>
      </w:r>
    </w:p>
    <w:p>
      <w:r>
        <w:t>An increase in the local share of elderly residents causes a statistically detectable rise in disposable income inequality for elderly-headed and single-elderly households relative to prime-age households in CEE countries between 2005 and 2022, conditional on welfare typology (liberal vs corporatist).</w:t>
      </w:r>
    </w:p>
    <w:p>
      <w:r>
        <w:t xml:space="preserve"> </w:t>
      </w:r>
    </w:p>
    <w:p>
      <w:pPr>
        <w:pStyle w:val="Heading2"/>
      </w:pPr>
      <w:r>
        <w:t>Related Work</w:t>
      </w:r>
    </w:p>
    <w:p>
      <w:r>
        <w:t>Existing studies measure age-group and household-type inequality using decomposition metrics (Gini, Theil, Atkinson) and apply small-area estimation (SAE) or multilevel regression with poststratification (MRP) to stabilize sparse cells. Spatial econometric papers use spatial lag/error models to capture regional dependence. Work on top-tail correction typically fits Pareto/GPD tails, and record linkage methods (deterministic or probabilistic) are used to merge survey and administrative data. Limitations remain: many projects rely on ad-hoc pooling thresholds (e.g., fixed n=50/100) rather than power-based rules; uncertainty from survey sampling, linkage error, tail imputation, and model posterior draws is often not jointly propagated; causal checklists for DiD/RD/IV are inconsistently codified and automated; privacy-preserving linkage options and MoU timelines are rarely integrated as fallback paths; and synthetic-data testbeds for end-to-end validation are uncommon.</w:t>
      </w:r>
    </w:p>
    <w:p>
      <w:r>
        <w:t xml:space="preserve"> </w:t>
      </w:r>
    </w:p>
    <w:p>
      <w:pPr>
        <w:pStyle w:val="Heading2"/>
      </w:pPr>
      <w:r>
        <w:t>Abstract</w:t>
      </w:r>
    </w:p>
    <w:p>
      <w:r>
        <w:t>We study how demographic aging affects income inequality by age and household type across Central and Eastern Europe (CEE) from 2005–2022. Our approach combines a single, power-driven pooling decision rule with reproducible small-area estimation and causal-identification checklists. The decision rule computes cell-specific minimum detectable effects (MDEs) from observed standard deviations and intraclass correlations via a Monte Carlo wrapper and maps MDEs to operational choices (direct estimate, SAE, or model pooling) encoded in machine-readable JSON and enforced in CI. We integrate spatial SAE (Fay–Herriot and unit-level models with ICAR spatial priors), Pareto tail fitting for top incomes, and record-linkage scenarios including privacy-preserving fallbacks. We propagate uncertainty jointly across survey sampling, linkage error, tail imputation, and model posteriors using a Monte Carlo pipeline. Contributions: a reproducible, power-first workflow, automated causal checklists for DiD/RD/IV, numeric priors and synthetic testbeds, and a minimal reporting schema for each cell. Expected outcome: robust, comparable subnational estimates and causal diagnostics that inform policy on aging and household vulnerability.</w:t>
      </w:r>
    </w:p>
    <w:p>
      <w:r>
        <w:t xml:space="preserve"> </w:t>
      </w:r>
    </w:p>
    <w:p>
      <w:pPr>
        <w:pStyle w:val="Heading2"/>
      </w:pPr>
      <w:r>
        <w:t>Experiments</w:t>
      </w:r>
    </w:p>
    <w:p>
      <w:r>
        <w:t>Datasets: harmonized EU-SILC microdata (2005–2022), LIS where available, national Household Budget Surveys, and administrative tax/pension registers for Poland, Romania, Hungary, Czechia, Slovakia, Bulgaria, Lithuania, Latvia, Estonia. Baselines: (A) fixed-threshold pooling (n&gt;=100 direct, 50–99 pool, &lt;50 model), (B) standard Fay–Herriot SAE without spatial ICAR, (C) Pareto tail fitting without admin linkage, (D) direct estimates where available. Proposed method: power-driven pooling (MDE→action), spatial unit- and area-level SAE (INLA/stan), joint Monte Carlo uncertainty propagation, record-linkage scenarios. Metrics: bias, RMSE, 95% coverage, coefficient of variation (CV), MDE achieved, recovery error for inequality metrics (Gini, Theil, Atkinson), and causal-identification diagnostics (pre-trend p-values, placebo effect rates). Experimental setup: 1) Harmonize incomes and household types; compute cell SD and ICC. 2) Run Monte Carlo wrapper (fixed seed policy: seed=2026001 per country) to estimate cell MDEs with 5,000 draws; map MDEs to actions via JSON rule. 3) Produce direct, SAE, and pooled estimates; for SAE report posterior mean, SD, CV, and shrinkage factor. 4) Run spatial panels and DiD/RD/IV with automated checklists. 5) Joint uncertainty: for each of 10,000 Monte Carlo draws combine survey bootstrap (resample PSUs), simulated linkage errors (controlled false/miss rates), Pareto tail draws, and SAE posterior draws to compute distributions of metrics. Ablation: compare full pipeline vs (i) no linkage simulation, (ii) no tail uncertainty, (iii) fixed-threshold pooling. Synthetic-data tests: (i) survey-only with known Pareto tail, (ii) survey+admin with controlled linkage error; report recovery of known Gini and causal effect parameters.</w:t>
      </w:r>
    </w:p>
    <w:p>
      <w:r>
        <w:t xml:space="preserve"> </w:t>
      </w:r>
    </w:p>
    <w:p>
      <w:pPr>
        <w:pStyle w:val="Heading2"/>
      </w:pPr>
      <w:r>
        <w:t>Risk Factors And Limitations</w:t>
      </w:r>
    </w:p>
    <w:p>
      <w:r>
        <w:t>Data access delays and legal constraints for administrative registers may prevent timely linkage; privacy rules (GDPR) vary by country. Small or zero cell counts limit identifiability; model-based pooling may bias cell estimates if auxiliary covariates are weak. Linkage errors (false matches, missed matches) can bias inequality measures and causal estimates. Pareto tail fits are sensitive to threshold choice and may not capture complex top incomes; admin linkage is preferred but not always available. Monte Carlo pipelines require substantial compute and storage for many draws and MCMC; resource limits may force fewer draws, reducing precision. Prior choices influence SAE and microsimulation results; numeric priors may not generalize across countries. Causal identification (DiD/RD/IV) depends on local policy variation and valid instruments; heterogeneous timing and small cluster counts reduce power. Reporting relies on harmonization quality; inconsistent income definitions or imputed housing rules across sources can confound comparisons.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