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organic_innovation_acceptance_survey</w:t>
      </w:r>
    </w:p>
    <w:p>
      <w:r>
        <w:t xml:space="preserve"> </w:t>
      </w:r>
    </w:p>
    <w:p>
      <w:pPr>
        <w:pStyle w:val="Heading2"/>
      </w:pPr>
      <w:r>
        <w:t>Title</w:t>
      </w:r>
    </w:p>
    <w:p>
      <w:r>
        <w:t>A mixed-methods, hierarchical survey and spatial analysis of stakeholder acceptance and development potential of innovations for organic farming in Germany</w:t>
      </w:r>
    </w:p>
    <w:p>
      <w:r>
        <w:t xml:space="preserve"> </w:t>
      </w:r>
    </w:p>
    <w:p>
      <w:pPr>
        <w:pStyle w:val="Heading2"/>
      </w:pPr>
      <w:r>
        <w:t>Short Hypothesis</w:t>
      </w:r>
    </w:p>
    <w:p>
      <w:r>
        <w:t>Providing farmers with concise, evidence-based agronomic and economic information about a specific innovation increases their stated acceptance and short-term adoption intention for that innovation compared to receiving no information.</w:t>
      </w:r>
    </w:p>
    <w:p>
      <w:r>
        <w:t xml:space="preserve"> </w:t>
      </w:r>
    </w:p>
    <w:p>
      <w:pPr>
        <w:pStyle w:val="Heading2"/>
      </w:pPr>
      <w:r>
        <w:t>Related Work</w:t>
      </w:r>
    </w:p>
    <w:p>
      <w:r>
        <w:t>Existing work on innovation adoption in agriculture uses surveys, choice experiments, and field trials to measure farmer attitudes, stated preferences, and on-farm outcomes. Many studies estimate adoption correlates with perceived profitability, labor requirements, and knowledge exposure; others link ecological indicators (soil organic carbon, biodiversity) to management bundles. Common analytical approaches include ordinary least squares and generalized linear models, discrete choice models for stated preferences, and mixed-effects models for clustered field trials. Limitations persist: (1) frequent reliance on cross-sectional or convenience samples with weak stratification and limited representativeness; (2) inadequate explicit handling of spatial dependence and clustering effects, which biases variance estimates; (3) scarce integration of survey attitudes with georeferenced on-farm measurements (SOC, yield, biodiversity) and with measurement-error correction, reducing causal interpretability; (4) small or underpowered samples for ecological outcomes; (5) inconsistent data governance and reproducibility practices. Qualitative studies highlight contextual drivers but are rarely merged quantitatively at scale.</w:t>
      </w:r>
    </w:p>
    <w:p>
      <w:r>
        <w:t xml:space="preserve"> </w:t>
      </w:r>
    </w:p>
    <w:p>
      <w:pPr>
        <w:pStyle w:val="Heading2"/>
      </w:pPr>
      <w:r>
        <w:t>Abstract</w:t>
      </w:r>
    </w:p>
    <w:p>
      <w:r>
        <w:t>We evaluate stakeholder acceptance and short-term adoption potential of innovations for organic farming by combining randomized information treatments at farm‑oriented field events with stratified survey sampling, georeferenced on‑farm measurements, and mixed‑effects spatial models. The approach uses a randomized comparison of concise evidence-based messages versus neutral messages to test whether information causally increases acceptance and adoption intention. We link survey responses to objective farm measurements (yield, soil organic carbon 0–20 cm, biodiversity indices) and implement hierarchical models that account for clustering by farm and region and for spatial dependence. Contributions: (1) a runnable protocol for survey experiments embedded in field days, (2) explicit power targets and sample sizes for agronomic and ecological outcomes, and (3) integrated analytic pipelines with measurement‑error adjustments and pre-registered estimands. Expected outcome: quantified causal effects of information on acceptance and intention, calibrated sample-size guidance for ecological endpoints, and reproducible datasets and analysis templates to inform extension and policy decisions.</w:t>
      </w:r>
    </w:p>
    <w:p>
      <w:r>
        <w:t xml:space="preserve"> </w:t>
      </w:r>
    </w:p>
    <w:p>
      <w:pPr>
        <w:pStyle w:val="Heading2"/>
      </w:pPr>
      <w:r>
        <w:t>Experiments</w:t>
      </w:r>
    </w:p>
    <w:p>
      <w:r>
        <w:t>Datasets: (1) Primary survey: stratified sample of field-day attendees and recruited farmers across NUTS2 regions, farm-size strata (&lt;50, 50–150, &gt;150 ha) and soil texture categories; target respondents 3,600 total. (2) On-farm panel: georeferenced plots (yield records, SOC 0–20 cm, POXC, microbial biomass, pollinator transects, pitfall/pan trap counts, earthworm monoliths, N2O chamber campaigns) collected on a subset of farms. (3) Lab duplicate results (10% duplicates, &gt;=30 duplicate pairs) and parcel spatial covariates (land cover, hedgerow density). Randomized treatment: at field days randomly assign respondents to (A) evidence message (concise agronomic+economic summary), (B) extension-style recommendation, or (C) neutral control. Baselines: no-randomization observational analysis; naive OLS; mixed-effects model without spatial terms. Models and estimands: primary estimand is ITT effect of treatment on stated acceptance score (Likert 1–7) and binary adoption intention at 3 months; secondary estimands: treatment impact on observed adoption at 12 months and on on‑farm outcomes (yield kg·ha⁻1, SOC t C·ha⁻1, Shannon biodiversity index). Modeling suite: hierarchical mixed-effects (random intercepts for farm and region), spatial random effects (Gaussian Process or CAR), measurement-error corrected models using replicate variance, and weighted estimators using survey weights. Evaluation metrics: continuous outcomes — effect size (standardized difference), RMSE, 95% CI coverage; binary outcomes — average treatment effect, AUC, precision/recall; ecological outcomes — MDE (minimum detectable effect), power, Cohen's d, and change in t C·ha⁻1 for SOC. Power and sample-size targets (explicit): survey acceptance intention: 100 respondents/arm for 80% power (d=0.30), 160/arm for 90% power; yield (10% relative change target): 60 plots/treatment/stratum for 80% power, 100 for 90% (design effect applied; see ICCs); SOC (0.2–0.3% absolute over 3–5 years): 100 farms baseline for 80% power, 200 for 90%; biodiversity (Shannon, d≈0.4): 80 plots/treatment/stratum for 80% power, 140 for 90%. Design-effect adjustments: apply DEFF = 1 + (m-1)*ICC with ICC priors: yield 0.15–0.40, SOC 0.25–0.60, pollinators 0.10–0.35. Comparisons and ablations: (i) randomized treatment vs control; (ii) mixed-effects with spatial GP vs mixed-effects without spatial terms; (iii) measurement-error corrected models vs uncorrected; (iv) weighted versus unweighted estimation; (v) excluding landscape covariates to assess bias from omitted spatial confounders. Pre-registration artifacts: estimand list, model skeletons (code templates), covariate lists, multiplicity correction (FDR for secondary outcomes), diagnostics (residuals, Moran's I, variogram), and stopping/adaptive sampling rules. Implementation details: stratified random sampling with quotas, geolocation plausibility checks, lab QA thresholds (SOC %RSD ≤5%), and follow-up adoption survey at 3 and 12 months.</w:t>
      </w:r>
    </w:p>
    <w:p>
      <w:r>
        <w:t xml:space="preserve"> </w:t>
      </w:r>
    </w:p>
    <w:p>
      <w:pPr>
        <w:pStyle w:val="Heading2"/>
      </w:pPr>
      <w:r>
        <w:t>Risk Factors And Limitations</w:t>
      </w:r>
    </w:p>
    <w:p>
      <w:r>
        <w:t>Selection bias: field-day attendees may not represent broader farmer population; results may overestimate acceptance. Social desirability bias: respondents may overstate acceptance when surveyed in-person at events. Nonresponse and attrition: follow-up adoption measurement at 12 months may suffer drop-out, reducing power. Clustering and small strata: some region×size×soil strata may yield small samples, lowering precision. Spatial confounding: unmeasured landscape factors correlated with both attitudes and outcomes can bias estimates. Measurement error: lab assays (SOC, POXC, microbial biomass) and biodiversity counts have assay and observer error; limited duplicates reduce correction accuracy. GDPR/privacy limits: geomasking or aggregation to protect privacy reduces spatial resolution and may weaken spatial analysis. Budget and logistics: high assay costs and labor for biodiversity/N2O measurements may constrain sample sizes below targets. Temporal scope: SOC and many ecological changes manifest over multiple years; short-term panels may miss long-term effects. Generalization: findings in German organic field-day contexts may not transfer to other countries or to non-event recruitment settings.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