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e_waste_dismantling_cf</w:t>
      </w:r>
    </w:p>
    <w:p>
      <w:r>
        <w:t xml:space="preserve"> </w:t>
      </w:r>
    </w:p>
    <w:p>
      <w:pPr>
        <w:pStyle w:val="Heading2"/>
      </w:pPr>
      <w:r>
        <w:t>Title</w:t>
      </w:r>
    </w:p>
    <w:p>
      <w:r>
        <w:t>Field-based gate-to-gate carbon footprint accounting that links facility electricity consumption to daily dismantling volumes for China's e-waste dismantling process</w:t>
      </w:r>
    </w:p>
    <w:p>
      <w:r>
        <w:t xml:space="preserve"> </w:t>
      </w:r>
    </w:p>
    <w:p>
      <w:pPr>
        <w:pStyle w:val="Heading2"/>
      </w:pPr>
      <w:r>
        <w:t>Short Hypothesis</w:t>
      </w:r>
    </w:p>
    <w:p>
      <w:r>
        <w:t>Linking daily facility electricity consumption to daily dismantling volumes for five e-waste types using a hierarchical Bayesian model yields statistically lower error and narrower 95% credible intervals for gate-to-gate carbon emissions (tCO2e per tonne) than methods using facility-level annual-average energy or deterministic emission factors.</w:t>
      </w:r>
    </w:p>
    <w:p>
      <w:r>
        <w:t xml:space="preserve"> </w:t>
      </w:r>
    </w:p>
    <w:p>
      <w:pPr>
        <w:pStyle w:val="Heading2"/>
      </w:pPr>
      <w:r>
        <w:t>Related Work</w:t>
      </w:r>
    </w:p>
    <w:p>
      <w:r>
        <w:t>Existing approaches for e-waste carbon accounting fall into three main groups: (1) national or regional inventories that apply coarse annual averages and grid emission factors, (2) life cycle assessment (LCA) studies that use process‑level data but often rely on literature emission factors and static allocation rules, and (3) small-scale field studies that measure emissions at individual sites without rigorous uncertainty propagation. Limitations across these approaches include coarse temporal resolution (annual averages that miss daily variation), weak linkage between measured energy use and dismantling throughput, limited treatment of censoring and non-detects in chemical measurements, sparse replication for high-variance open-burning events, simplistic uncertainty reporting (single-point estimates or ad-hoc ranges), and inconsistent allocation or system-expansion choices for recovered materials. These weaknesses lead to biased or overconfident abatement estimates and limit policy relevance where daily operational patterns matter.</w:t>
      </w:r>
    </w:p>
    <w:p>
      <w:r>
        <w:t xml:space="preserve"> </w:t>
      </w:r>
    </w:p>
    <w:p>
      <w:pPr>
        <w:pStyle w:val="Heading2"/>
      </w:pPr>
      <w:r>
        <w:t>Abstract</w:t>
      </w:r>
    </w:p>
    <w:p>
      <w:r>
        <w:t>This work develops and applies a field-based, gate-to-gate carbon accounting method for e-waste dismantling in China that links daily electricity consumption of key facilities to daily dismantling volumes across five device types. We use a hierarchical Bayesian model to combine facility electricity records, direct emission measurements (including open-burn events), laboratory chemical analyses, and transport legs into a dismantling-process carbon inventory with probabilistic uncertainty. The main contribution is a temporally resolved, reproducible workflow that produces tCO2e per tonne (and per device) with 95% credible intervals, integrates capture-efficiency corrections for plume-based open-burn measurements, and explicitly compares allocation rules (mass, economic, system expansion). Expected outcomes are more accurate and policy-relevant abatement potential estimates, abatement cost metrics, and a standardized data schema and QA protocol for field teams. The method supports scenario modeling for formalization, mechanization, open-burn elimination, and grid decarbonization to inform financing and regulation choices.</w:t>
      </w:r>
    </w:p>
    <w:p>
      <w:r>
        <w:t xml:space="preserve"> </w:t>
      </w:r>
    </w:p>
    <w:p>
      <w:pPr>
        <w:pStyle w:val="Heading2"/>
      </w:pPr>
      <w:r>
        <w:t>Experiments</w:t>
      </w:r>
    </w:p>
    <w:p>
      <w:r>
        <w:t>Datasets: (a) pilot field data from 6 sites (diverse formal/informal types) with daily electricity logs, daily dismantling volumes by device type, emissions measurements (GHGs, CO, BC, PM, POPs), and lab analyses; (b) expanded sample: 20–30 formal facilities and 40–60 informal operations across geographic strata; (c) transport network and route logs for sampled transport legs; (d) external audit subset (10–15% of sites) for ground-truth. Baselines: (B1) national inventory style annual-average grid EF × annual throughput; (B2) gate-to-gate deterministic LCA using literature emission factors and mass-allocation; (B3) hierarchical Bayesian model without daily electricity-throughput linkage (facility-level energy averages). Evaluation metrics: tCO2e per tonne (median and 95% credible interval width), coverage probability (fraction of audits within 95% CI), posterior RMSE against audit totals, bias, effective sample size (ESS) for key parameters, CNY/tCO2e abatement cost metrics, and diagnostic R-hat (R̂) for convergence where R̂ &lt; 1.01 indicates convergence. Experimental setup: implement a hierarchical Bayesian model (facility random effects, day-level throughput terms, correlated recovery-revenue-burn propensity via multivariate prior) in Stan or PyMC; handle non-detects with left-censored likelihood (censored data means values below lab detection limit are modeled, not substituted); MCMC: 4 chains, 10,000 iterations, 2,000 warmup, adapt_delta=0.95, require ESS&gt;400. Cross-validation: leave-one-facility-out and posterior predictive checks. Ablation studies: (A1) full model vs model without daily electricity-throughput linkage; (A2) full model with capture-efficiency correction vs without correction; (A3) allocation ablation: mass allocation vs system expansion vs economic allocation. Report metric deltas and 95% CIs for each ablation.</w:t>
      </w:r>
    </w:p>
    <w:p>
      <w:r>
        <w:t xml:space="preserve"> </w:t>
      </w:r>
    </w:p>
    <w:p>
      <w:pPr>
        <w:pStyle w:val="Heading2"/>
      </w:pPr>
      <w:r>
        <w:t>Risk Factors And Limitations</w:t>
      </w:r>
    </w:p>
    <w:p>
      <w:r>
        <w:t>Measurement variability: high within- and between-site variance, especially for informal open-burning, may inflate uncertainty and require more samples than budgeted. Non-detects and censoring: many trace analytes may be below lab limits; left-censoring increases model complexity and can widen posteriors. Capture-efficiency correction bias: plume capture correction relies on tracer experiments; incorrect tracer design or poor recapture can bias emission factors. Prior misspecification: weak or incorrect priors in the Bayesian model can skew estimates if field data are sparse; effective sample size must be monitored. Representativeness: pilot sites may not cover all operational modes, creating sample bias when scaling nationally. Legal/ethical risks: researching illicit open-burning sites may pose safety and legal exposure for staff and participants. Compute and scalability: hierarchical Bayesian MCMC is computationally intensive; long runtimes may limit rapid scenario exploration. Allocation limits: system-expansion credits require verifiable downstream displacement evidence; lacking such evidence limits credits and may reduce apparent benefits. Generalization: method tuned to China’s grid, labor patterns, and informal sector may not transfer without adaptation to other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