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bridging_purpose_renewal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Systematic review, NLP measurement validation, and causal inference of corporate purpose effects on strategic renewal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Greater authenticity in a firm's public purpose statements causes a measurable increase in strategic renewal actions (new business-model changes and product introductions) within two years.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splits into three partly separate streams: (1) studies that measure corporate purpose or purpose-like signals using manual coding or off-the-shelf text features, (2) strategic renewal research that links governance and firm actions to business-model change, and (3) methods papers applying quasi-experimental estimators (difference-in-differences and instrumental variables) and NLP for organizational text. Limitations across these streams include inconsistent and non-validated measures of purpose, limited cross-language or longitudinal validation, sparse use of strong natural experiments, weak or under-documented instrument exclusion narratives, inadequate correction for measurement error from text-derived proxies, and frequent neglect of spillovers across firm networks. Existing NLP approaches often use pre-trained embeddings without domain adaptation, producing attenuated effect estimates. Few studies combine validated text measures, rigorous staggered-DiD/IV identification, mediation sensitivity checks, and network-interference corrections in a single reproducible pipeline.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maps and tests how corporate purpose relates to strategic renewal by combining a systematic literature review, validated NLP measurement, and pre-registered causal designs. We build a domain-adapted transformer classifier for three purpose dimensions (authenticity, centrality, stakeholder scope) trained on a human-labeled validation set. We then link these validated measures to firm-level renewal outcomes using staggered difference-in-differences (for legal/regulatory shocks) and instrumental-variable designs (distance and peer-intensity instruments), with measurement-error correction via latent-variable SEM and SIMEX. We pre-specify mediation tests and network-aware estimators to separate direct effects from spillovers. The main contribution is a reproducible, theory-aligned pipeline that produces validated purpose measures, robust causal effect estimates, and evidence on mechanisms. Expected outcomes are (1) validated text-based instruments for purpose, (2) pre-registered causal estimates of how purpose dimensions affect renewal, and (3) open analytic templates and evidence tables to support replication and practitioner use.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literature corpus: Web of Science + Scopus + ABI/INFORM + SSRN search results (1990–present) for the systematic review; (b) corporate text corpus: &gt;100,000 documents (MD&amp;A/10-K, earnings-call transcripts, press releases) from EDGAR, Refinitiv/Thomson datasets, and S&amp;P sources; (c) firm outcomes and controls: Compustat and CRSP for financials, Orbis/BoardEx for governance, Refinitiv/ISS for ESG scores, FactSet/Orbis nexus for supplier-customer networks; languages: English plus German, French, Spanish corpora. Baselines: (1) naïve OLS with controls, (2) two-way fixed effects DiD (TWFE) without timing corrections, (3) DiD using Sun &amp; Abraham corrections, (4) Callaway &amp; Sant’Anna staggered DiD (preferred), (5) 2SLS IV using distance/peer-intensity without robust bounds, (6) LIML and Anderson–Rubin (weak-IV robust) as comparators, (7) off-the-shelf BERT classifiers without continued pretraining, (8) measurement-naïve SEM without SIMEX. NLP pipeline and validation: create a stratified validation set of 1,200–1,500 documents; 4–6 human coders; 30% double-coding overlap; target Krippendorff's alpha ≥0.80. Fine-tune domain-adapted transformer (continued pretraining then supervised fine-tuning) and report classifier metrics: precision, recall, F1, AUC. Measurement validation: run confirmatory factor analysis (CFA) for purpose constructs; report CFI and RMSEA and multi-group invariance tests (ΔCFI and ΔRMSEA). Measurement-error correction: estimate latent-variable SEM and apply SIMEX (a method that simulates added noise to correct bias) and report naive vs corrected coefficients. Causal estimation: (a) staggered-DiD on predefined shocks (benefit-corp adoptions; EU NFRD→CSRD) using Callaway &amp; Sant’Anna and Sun &amp; Abraham; report event-study plots and Goodman–Bacon decompositions; (b) IV 2SLS with distance-to-first-adopter and peer-intensity instruments; report first-stage F, partial-R2, Anderson–Rubin p-values, Conley bounds; (c) robustness with LIML and weak-IV diagnostics. Network and spillovers: estimate partial-interference models and network-DiD with supplier/customer neighborhoods; decompose direct versus indirect effects. Mediation: run causal mediation tests with sequential-ignorability assumptions, report Imai–VanderWeele sensitivity bounds and parametric rho sensitivity. Ablation studies: (1) remove SIMEX correction (measure naïve), (2) replace domain-adapted transformer with off-the-shelf BERT, (3) exclude network spillover controls, (4) omit multilingual fine-tuning. Evaluation metrics: causal effect point estimates and 95% CI, change in coefficient magnitude after measurement correction, NLP F1/precision/recall/AUC, CFA fit indices (CFI≥0.95 desirable; RMSEA≤0.06 desirable), Krippendorff's alpha for human labels, first-stage F&gt;10 target, power analysis reporting MDE at 80% power for each design. Experimental setup: pre-register analysis plan and Monte Carlo power scenarios (varying ICC, attrition, treatment timing heterogeneity, cluster sizes); run estimators on the same pre-specified samples; provide reproducible code, seeds, and model checkpoints.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access: restricted board minutes or proprietary decks may be unavailable, reducing validation sample size. Instrument weakness: distance and peer-intensity IVs may fail first-stage or exclusion diagnostics; weak-IV methods may yield wide bounds and limited inference. Measurement error: residual misclassification from NLP can bias effects; SIMEX and SEM reduce but may not fully remove bias. Concept drift and multilingual issues: language change over time and across languages can degrade classifier accuracy. Network interference: unobserved spillovers can violate SUTVA; network models require accurate tie data which may be incomplete. Generalization limits: results may not generalize across countries or small private firms. Compute and scalability: domain-adaptive pretraining and extensive Monte Carlo simulations require substantial compute resources. Ethics and disclosure: secure-enclave constraints and IRB rules may limit public release of some replication materials, reducing direct reproducibility. Time/sample constraints: achieving the target treated/control N for staggered DiD may be infeasible, lowering statistical power.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