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Assessing and projecting impacts of land use and land cover change on ecosystem service value in Qianyang County using spatial statistics and the PLUS land-change model</w:t>
      </w:r>
    </w:p>
    <w:p>
      <w:r>
        <w:t xml:space="preserve"> </w:t>
      </w:r>
    </w:p>
    <w:p>
      <w:pPr>
        <w:pStyle w:val="Heading2"/>
      </w:pPr>
      <w:r>
        <w:t>Short Hypothesis</w:t>
      </w:r>
    </w:p>
    <w:p>
      <w:r>
        <w:t>PLUS-model scenarios of land use and land cover (LULC) change between 2022 and 2050 will produce statistically significant shifts (p &lt; 0.05) in area-weighted ecosystem service value (ESV) metrics for Qianyang County relative to the 2007–2022 baseline when propagated with Monte Carlo classification and allocation uncertainty.</w:t>
      </w:r>
    </w:p>
    <w:p>
      <w:r>
        <w:t xml:space="preserve"> </w:t>
      </w:r>
    </w:p>
    <w:p>
      <w:pPr>
        <w:pStyle w:val="Heading2"/>
      </w:pPr>
      <w:r>
        <w:t>Related Work</w:t>
      </w:r>
    </w:p>
    <w:p>
      <w:r>
        <w:t>Existing work combines remote sensing LULC mapping, spatial statistics, and ecosystem service valuation tools (for example, InVEST-type models) to estimate ESV over time. Land-change models used in prior studies include CA-Markov, CLUE-S, Dinamica, and the PLUS model; PLUS emphasizes patch-level driving factors and rule learning. Uncertainty-aware studies apply ensemble modeling and Monte Carlo resampling, but many limit uncertainty to classification or single-model allocations. Sensitivity analysis methods such as Sobol indices and surrogate emulators are used in some studies to attribute variance, yet implementations often omit correlated inputs or provide limited emulator validation. Common limitations are: coarse treatment of spatial autocorrelation (resampling per pixel that breaks patch structure), sparse ground-truth data reducing per-class confidence, static per-unit ESV coefficients that ignore local context, weak propagation of imputation uncertainty from socioeconomic inputs, and lack of auditable governance-weighting for ensemble outputs.</w:t>
      </w:r>
    </w:p>
    <w:p>
      <w:r>
        <w:t xml:space="preserve"> </w:t>
      </w:r>
    </w:p>
    <w:p>
      <w:pPr>
        <w:pStyle w:val="Heading2"/>
      </w:pPr>
      <w:r>
        <w:t>Abstract</w:t>
      </w:r>
    </w:p>
    <w:p>
      <w:r>
        <w:t>This study quantifies how past and future land use and land cover (LULC) changes affect ecosystem service value (ESV) in Qianyang County, China. We combine 2007–2022 30 m LULC maps, ~1,000 stratified ground-truth points, spatial statistics, and the PLUS land-change model to build probabilistic LULC ensembles. Spatial resampling uses block bootstrap (block size = 2–3× semivariogram range) plus a categorical Markov Random Field (MRF) to preserve patch geometry. We propagate classification and allocation uncertainty via Monte Carlo runs (pilot N=100–200; operational N=1,000) into hydrological and ESV models and train surrogate emulators for Sobol variance decomposition (to find key uncertainty drivers) and Expected Value of Perfect Information (EVPI). We test governance-weighted ensemble schemes and scenario priors that encode post-2015 nonstationary drivers. The main contribution is an auditable, uncertainty-aware pipeline linking high-resolution LULC change to probabilistic ESV outcomes and data-prioritization metrics. Expected outcomes are spatially explicit ESV distributions with confidence intervals, variance apportionment across model stages, and ranked data investments to reduce decision-relevant uncertainty.</w:t>
      </w:r>
    </w:p>
    <w:p>
      <w:r>
        <w:t xml:space="preserve"> </w:t>
      </w:r>
    </w:p>
    <w:p>
      <w:pPr>
        <w:pStyle w:val="Heading2"/>
      </w:pPr>
      <w:r>
        <w:t>Experiments</w:t>
      </w:r>
    </w:p>
    <w:p>
      <w:r>
        <w:t>Datasets: 30 m LULC rasters for 2007, 2012, 2017, 2022; ground-truth points n≈1,000 stratified by 12 classes; DEM (30 m), soil maps, monthly meteorology 2000–2022; household survey n=150–200 and auxiliary administrative yield/tenure records. Baselines: (A) deterministic LULC mapping + single-run ESV (no uncertainty); (B) CA-Markov allocation ensemble; (C) CLUE-S allocation ensemble; (D) PLUS allocation ensemble without MRF resampling. Proposed pipeline: pilot Monte Carlo N=100 then full N=1,000 with block bootstrap (block = 2× and 3× semivariogram range tested) and categorical MRF conditional simulation. Surrogate emulator: train on 1,000 Monte Carlo realizations, hold-out 20% (200) for validation; diagnostics: R2, RMSE, and standardized residuals; target R2&gt;0.85 for hydrology and ESV outputs. Sobol sensitivity: use Saltelli sampling for independent inputs; if inputs are correlated use copula-based Saltelli transform to preserve correlations. Sobol computation via emulator with 20,000 sample evaluations to estimate first-order and total indices. Evaluation metrics: per-class user’s and producer’s accuracies and 95% CI; Kappa; AUC for change prediction; area-by-class CI widths (absolute hectares and relative %); transition probability CI; hydrology: NSE, KGE, PBIAS for flow and percent bias for sediment; ESV: median and 5–95% interval, probability(Benefits&gt;Costs) for monetized ES; EVPI per parameter and spatial EVPI maps. Experiments and ablations: 1) MRF vs no-MRF resampling; 2) block size 2× vs 3× semivariogram range; 3) governance-weighted vs skill-weighted vs unweighted ensembles; 4) N=100, 500, 1,000 Monte Carlo comparisons to test convergence; 5) emulator training size ablation: 600 vs 1,000 vs 1,400. Scenario design: two socio-economic scenarios (status quo vs high-orchard-expansion) and two climate variants (observed trend vs +10% precipitation variability). Monetization sensitivity: social cost of carbon range 20–100 USD/tCO2e and discount rates 1%, 3%, 5%. Reproducibility: all runs via containerized workflows with Git-tagged code and data manifest.</w:t>
      </w:r>
    </w:p>
    <w:p>
      <w:r>
        <w:t xml:space="preserve"> </w:t>
      </w:r>
    </w:p>
    <w:p>
      <w:pPr>
        <w:pStyle w:val="Heading2"/>
      </w:pPr>
      <w:r>
        <w:t>Risk Factors And Limitations</w:t>
      </w:r>
    </w:p>
    <w:p>
      <w:r>
        <w:t>Technical failure modes: surrogate emulator may not reach target accuracy (R2) leading to biased Sobol indices; MRF tuning may fail to reproduce observed patch-size distributions causing downstream hydrology biases. Data biases: household sample (n=150–200) may be underpowered for complex behavioral parameters; ground-truth spatial gaps may bias per-class accuracy and semivariogram estimation. Correlated inputs: copula-based sampling assumptions may not capture complex dependence, affecting Sobol results. Nonstationarity: post-2015 policy or market shifts may not be fully encoded, producing scenario misspecification. Compute and storage: N=1,000 full realizations with hydrology and ESV propagation requires multi-core and GPU resources and 4–6 TB storage; resource limits may force reduced N and lower confidence. Generalization: results and calibrated parameters are specific to Qianyang County landscape and governance context and do not directly transfer to other regions without re-calibration. Evaluation limits: monetary ESV relies on chosen valuation coefficients and SCC range and therefore embodies normative choices that affect policy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