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dvt_protection_motivation_scale</w:t>
      </w:r>
    </w:p>
    <w:p>
      <w:r>
        <w:t xml:space="preserve"> </w:t>
      </w:r>
    </w:p>
    <w:p>
      <w:pPr>
        <w:pStyle w:val="Heading2"/>
      </w:pPr>
      <w:r>
        <w:t>Title</w:t>
      </w:r>
    </w:p>
    <w:p>
      <w:r>
        <w:t>Development and validation of a protection motivation theory-based scale to predict postdischarge deep vein thrombosis prophylaxis adherence after hip and knee arthroplasty</w:t>
      </w:r>
    </w:p>
    <w:p>
      <w:r>
        <w:t xml:space="preserve"> </w:t>
      </w:r>
    </w:p>
    <w:p>
      <w:pPr>
        <w:pStyle w:val="Heading2"/>
      </w:pPr>
      <w:r>
        <w:t>Short Hypothesis</w:t>
      </w:r>
    </w:p>
    <w:p>
      <w:r>
        <w:t>Higher baseline scores on the protection-motivation-theory-based motivation scale cause higher odds of objectively measured outpatient DVT prophylaxis adherence (≥80% of prescribed doses or wear-time) during days 0–30 after hospital discharge.</w:t>
      </w:r>
    </w:p>
    <w:p>
      <w:r>
        <w:t xml:space="preserve"> </w:t>
      </w:r>
    </w:p>
    <w:p>
      <w:pPr>
        <w:pStyle w:val="Heading2"/>
      </w:pPr>
      <w:r>
        <w:t>Related Work</w:t>
      </w:r>
    </w:p>
    <w:p>
      <w:r>
        <w:t>Existing work on medication and device adherence uses generic self-report scales, pharmacy-based metrics (proportion of days covered, PDC), and a few theory-based questionnaires for other conditions. Protection Motivation Theory (PMT) and related health-behavior models have been applied to predict vaccination, chronic-medication use, and exercise, but there is no well-validated PMT instrument targeting post-arthroplasty DVT prophylaxis. Prior instruments often rely on small samples, lack rigorous psychometric testing (for example, limited use of exploratory and confirmatory factor analysis or item response theory), do not link to objective adherence sources, and rarely test measurement invariance across languages, literacy levels, or clinical subgroups. Existing predictive models for post-surgical adherence frequently use demographic and clinical covariates but omit a reliable, validated motivational measure that is tied to actionable thresholds and integrated with EHR workflows.</w:t>
      </w:r>
    </w:p>
    <w:p>
      <w:r>
        <w:t xml:space="preserve"> </w:t>
      </w:r>
    </w:p>
    <w:p>
      <w:pPr>
        <w:pStyle w:val="Heading2"/>
      </w:pPr>
      <w:r>
        <w:t>Abstract</w:t>
      </w:r>
    </w:p>
    <w:p>
      <w:r>
        <w:t>Postdischarge nonadherence to pharmacologic or mechanical DVT prophylaxis after hip or knee arthroplasty increases thromboembolic risk. We propose to develop and validate a protection-motivation-theory-grounded instrument that measures cognitive drivers of patients' motivation for outpatient DVT prophylaxis and to test whether baseline motivation predicts objectively measured adherence. Item candidates will come from literature review, patient interviews, and expert panels; psychometric evaluation will use exploratory and confirmatory factor analysis and graded-response item response theory (IRT) to produce full and short forms. We will link scale scores to multi-source adherence measures (pharmacy claims, EHR medication records, and device logs) and estimate predictive performance using mixed-effects logistic models. Main contributions are (1) a theory-based, psychometrically validated motivation scale for post-arthroplasty prophylaxis, (2) IRT-based short-form linking, and (3) prespecified thresholds tied to real-time clinical actions. Expected impact is an interoperable tool that identifies patients at risk for nonadherence and supports targeted, ethical outreach to improve prophylaxis adherence and reduce preventable VTE.</w:t>
      </w:r>
    </w:p>
    <w:p>
      <w:r>
        <w:t xml:space="preserve"> </w:t>
      </w:r>
    </w:p>
    <w:p>
      <w:pPr>
        <w:pStyle w:val="Heading2"/>
      </w:pPr>
      <w:r>
        <w:t>Experiments</w:t>
      </w:r>
    </w:p>
    <w:p>
      <w:r>
        <w:t>Datasets: 1) Development cohort n≈500–600 postdischarge hip/knee arthroplasty patients recruited across multiple centers for scale development and predictive modeling; 2) Validation cohort (external/temporal) n≈350–500 from two external sites; 3) Validation subsample n≈150–200 with daily electronic monitoring (electronic pillbox or device logs) and adjudicated chart review to serve as gold-standard adherence. Baselines: (a) demographic-clinical model (age, sex, procedure, comorbidity, prophylaxis type), (b) generic self-report adherence scale (eg, 4-item), (c) single-item intention measure. Psychometric pipeline: split development sample for EFA (N≥200) and CFA/IRT (remaining); EFA to determine factor structure; CFA with fit targets CFI/TLI≥0.90–0.95, RMSEA≤0.06–0.08, SRMR≤0.08; IRT graded response model (GRM) to estimate discrimination and item information. Item retention criteria: item-total r≥0.30, loading≥0.40, IRT discrimination a≥0.65, item information≥0.8 across theta∈[-1,+2]. Create short and ultra-brief forms by maximizing test information and clinical brevity; link scores across forms using IRT-based linking. Predictive modeling: mixed-effects logistic regression predicting binary adherence (≥80% vs &lt;80% over days 0–30) with random intercept for center and prespecified covariates; report AUC, Brier score, calibration slope/intercept, and decision-curve net benefit. Handle missing data with MICE (≥20 imputations). Measurement-error correction: use validation subsample to estimate sensitivity/specificity of routine sources and apply regression calibration or SIMEX for corrected effect estimates. Evaluation metrics: psychometrics (omega reliability, factor loadings, IRT information, DIF statistics), predictive (AUC, sensitivity/specificity at prespecified ROC thresholds, PPV/NPV, net benefit), and operational (time to score, clinician flag rate). Ablations/Comparisons: (1) full scale vs short vs ultra-brief performance; (2) IRT-based scoring vs summed-score classical test theory scoring; (3) outcome definitions using pharmacy PDC alone vs device logs alone vs reconciled hierarchy; (4) remove key domains (eg, self-efficacy) to measure domain contribution. Statistical inference: bootstrap CIs for AUC and net benefit; ΔCFI≤0.01 for nested CFA model decisions.</w:t>
      </w:r>
    </w:p>
    <w:p>
      <w:r>
        <w:t xml:space="preserve"> </w:t>
      </w:r>
    </w:p>
    <w:p>
      <w:pPr>
        <w:pStyle w:val="Heading2"/>
      </w:pPr>
      <w:r>
        <w:t>Risk Factors And Limitations</w:t>
      </w:r>
    </w:p>
    <w:p>
      <w:r>
        <w:t>Low event rates for symptomatic VTE limit power for clinical outcome associations; the primary focus is adherence prediction, not VTE incidence. Differential participation or device uptake may bias the validation subsample and measurement-error estimates. Routine adherence sources (pharmacy claims, EHR med lists) have incomplete capture and may misclassify adherence; reconciliation and gold-standard subsample reduce but do not eliminate this risk. Cross-language and low-literacy measurement invariance may fail, limiting generalizability of scores across subgroups. IRT and DIF analyses require large samples; smaller-than-planned accrual will reduce stability of item parameters and linking across short forms. Missing data and differential loss-to-follow-up can bias predictive models despite multiple imputation. Real-world EHR integration and clinician workflows risk alert fatigue and variable uptake, which can limit the tool's practical impact. Computational needs for IRT and bootstrap inference are moderate but may strain resources if repeated analyses are required.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