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Integrating cost-of-leverage and structural Merton models to compute optimal bank capital and capital requirements under liquidity premia and tail-risk</w:t>
      </w:r>
    </w:p>
    <w:p>
      <w:r>
        <w:t xml:space="preserve"> </w:t>
      </w:r>
    </w:p>
    <w:p>
      <w:pPr>
        <w:pStyle w:val="Heading2"/>
      </w:pPr>
      <w:r>
        <w:t>Short Hypothesis</w:t>
      </w:r>
    </w:p>
    <w:p>
      <w:r>
        <w:t>Increasing bank equity capital reduces the bank's weighted average cost of capital (WACC) net of lost debt tax shields and liquidity premium whenever the fall in failure probability yields larger present-value reductions in expected distress costs.</w:t>
      </w:r>
    </w:p>
    <w:p>
      <w:r>
        <w:t xml:space="preserve"> </w:t>
      </w:r>
    </w:p>
    <w:p>
      <w:pPr>
        <w:pStyle w:val="Heading2"/>
      </w:pPr>
      <w:r>
        <w:t>Related Work</w:t>
      </w:r>
    </w:p>
    <w:p>
      <w:r>
        <w:t>Existing approaches split into two main strands: (1) corporate-finance trade-off models that measure the cost of leverage (loss of debt tax shields, issuance costs) but often ignore liquidity premia and dynamic tail risk; and (2) structural credit models (Merton-style) that map equity and asset volatility to default probabilities and market-implied costs but commonly omit explicit debt policy features and tax-shield present-value losses. Empirical and regulatory literatures provide quasi-experimental estimates of capital effects but face weak-instrument problems, survivor bias in distress samples, and inconsistent tail extrapolation across jurisdictions. Stress-test and risk-modeling work deliver useful tail moments but typically use parametric tails and do not feed back into a microfounded WACC optimization. Gaps: lack of a unified framework that (a) jointly quantifies tax-shield loss, liquidity premium, and reduced failure probability; (b) uses rare-event-aware numerical methods; and (c) provides robust identification under measurement error, weak instruments, and macro feedback.</w:t>
      </w:r>
    </w:p>
    <w:p>
      <w:r>
        <w:t xml:space="preserve"> </w:t>
      </w:r>
    </w:p>
    <w:p>
      <w:pPr>
        <w:pStyle w:val="Heading2"/>
      </w:pPr>
      <w:r>
        <w:t>Abstract</w:t>
      </w:r>
    </w:p>
    <w:p>
      <w:r>
        <w:t>We address how bank equity levels affect the bank's weighted average cost of capital (WACC) by developing a unified trade-off model that combines cost-of-leverage primitives with a structural Merton framework. The model explicitly accounts for: lost debt tax shields (present-value of tax benefits forgone when equity rises), liquidity premia on debt (extra yield required by creditors for illiquid or bail-inable liabilities), and reduction in failure probability (via a Merton-style mapping from capital to default risk). We embed these microfoundations in a dynamic programming solver and calibrate using simulated method of moments and Bayesian estimation to bank-level and market data across jurisdictions. Main contribution: a reproducible numerical method that yields optimal private and social capital profiles and policy counters across bank and country features while quantifying uncertainty due to tail estimation and instrument strength. Expected outcome: robust, testable prescriptions for capital requirements and clear diagnostics on when equity increases lower or raise WACC under varying liquidity and tail-risk conditions.</w:t>
      </w:r>
    </w:p>
    <w:p>
      <w:r>
        <w:t xml:space="preserve"> </w:t>
      </w:r>
    </w:p>
    <w:p>
      <w:pPr>
        <w:pStyle w:val="Heading2"/>
      </w:pPr>
      <w:r>
        <w:t>Experiments</w:t>
      </w:r>
    </w:p>
    <w:p>
      <w:r>
        <w:t>Datasets: (1) US Call Reports and FR Y-9C (1999–present) for bank accounting; (2) cross-jurisdiction regulatory disclosures and Basel phase-in timelines; (3) bond spreads, CDS spreads, and equity returns at daily frequency; (4) supervisory stress-test archives and documented resolution case files for tail events; (5) loan-level credit registry subsets where available for validation. Baselines: A. Fernandez-style cost-of-leverage only (no liquidity premium); B. Merton-only structural default model (no tax-shield present-value losses); C. Reduced-form DiD/IV estimates of capital on spreads; D. Full integrated model without macro feedback. Evaluation metrics: change in WACC (percentage points), optimal CET1 ratio (percent of risk-weighted assets), change in default probability (ΔProbDefault), expected distress cost present value (USD), consumption-equivalent welfare change (percent), tail-fit quality (KS statistic and tail QQ error), identification strength (first-stage F, Kleibergen–Paap), finite-sample bias maps from Monte Carlo. Experimental setup: Calibrate model by SMM using 5,000 simulated method-of-moments runs targeting issuance spreads, tail moments, and default proxies; run Bayesian posterior sampling with 10,000 draws (NumPyro) for uncertainty bands. Solve dynamic program with JAX-enabled HJB/DP solver and collocation; inner expectations use importance-sampled Monte Carlo with 100,000 total importance samples per calibration step (multilevel sampling allowed). Ablations: (1) remove liquidity-premium term, (2) replace parametric tail fit (GPD) with nonparametric tail bounds, (3) drop macro feedback (compare no-feedback vs full-feedback runs), (4) use alternative instrument sets (market-only, regulatory-only). Validation: out-of-sample tests on crisis windows (2007–2009, 2010–2013 euro-area stress, 2020 COVID shock) and holdout jurisdictions; report baseline vs integrated-model differences and ablation impacts on WACC and optimal CET1.</w:t>
      </w:r>
    </w:p>
    <w:p>
      <w:r>
        <w:t xml:space="preserve"> </w:t>
      </w:r>
    </w:p>
    <w:p>
      <w:pPr>
        <w:pStyle w:val="Heading2"/>
      </w:pPr>
      <w:r>
        <w:t>Risk Factors And Limitations</w:t>
      </w:r>
    </w:p>
    <w:p>
      <w:r>
        <w:t>Model misspecification: functional forms for cost-of-equity, liquidity premium, and distress cost may be wrong, producing biased optima. Tail estimation: parametric tail extrapolation (e.g., GPD) is sensitive and can misstate κ; nonparametric bounds may be wide. Identification: instruments may be weak or violate exclusion, producing large finite-sample bias; weak-IV inference limits causal claims. Data bias: survivor bias in resolution cases, limited access to supervisory loss data, and cross-country reporting breaks reduce external validity. Measurement error: bank-level variables (e.g., bail-inable debt) are noisy and cause attenuation. Computational limits: nested importance sampling and DP/HJB grids are computationally intensive and may not scale to very large sweeps without emulators. Multiple equilibria and nonconvexities: optimal capital may be non-unique in some parameter regions, producing unstable policy prescriptions. Generalization: calibrated results may not transfer to countries with unique legal, political, or market structures; confidentiality constraints may prevent full replication by external reviewers.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