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sustained_csat_revenue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sustained causal effects of customer satisfaction on individual bank revenue using panel experiments and dynamic causal time-series methods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sustained increase in customer satisfaction (CSAT +4 points sustained for ≥6 months) causes a positive net revenue growth per customer at 24 months relative to customers without that sustained increase.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shows positive links between customer satisfaction and firm revenue, and recent studies use causal inference tools (RCTs, IVs, difference-in-differences) to strengthen claims. Limitations remain: many studies use aggregate or short-horizon outcomes, rely on observational variation with weak identification, or do not correct for measurement error in satisfaction. Dynamic persistence (time-to-peak, half-life) and long-run multipliers are rarely estimated at the individual level. Mediation analyses that decompose effects into retention, cross-sell, and wallet share are often underpowered or rely on strong untestable assumptions. Spillovers across channels and staff assignment are typically ignored or poorly measured. Machine-learning heterogeneity methods are used sporadically but are not well integrated with dynamic causal estimators, and privacy/disclosure risks for linked survey–transaction data are under-addressed.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whether sustained improvements in customer satisfaction produce durable, individual-level increases in bank revenue and quantifies the timing and persistence of those effects. We combine experimentally assigned encouragements with linked satisfaction surveys and customer transaction records to estimate intention-to-treat and dose-response effects at multiple horizons. Our approach integrates measurement-error correction for satisfaction via a state-space smoothing model, horizon-by-horizon local projections and panel VAR/VECM for impulse responses, and dynamic panel GMM/IV where endogeneity is present. We also estimate continuous-dose response curves and use causal machine-learning for heterogeneity. Main contributions: (1) auditable, horizon-specific ATEs at 12/24/36 months; (2) dynamic metrics (time-to-peak, half-life, long-run multiplier); and (3) mediation decomposition into retention, cross-sell, and share-of-wallet effects. Expected outcomes are finance-ready counterfactuals and probabilistic NPVs that support replication and policy decisions.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linked customer-month panel of survey responses and bank records (transactions, fees, interest, refunds, cost-to-serve, marketing) covering at least 24 months pre-period and 36 months post-period; experimental assignment logs and exposure maps (branch, channel, staff). Baselines: naive OLS growth regressions; difference-in-differences (group-level); static IV (one-period); propensity-score–adjusted static ATE. Proposed methods: ITT ATEs via clustered RCT analysis, state-space smoothing (Kalman) for latent satisfaction, local projections (Jordà) for horizon ATEs, panel VAR/VECM for system IRFs and long-run multipliers, dynamic panel GMM and LP-IV for endogeneity, generalized propensity score / doubly-robust estimators for continuous dose, causal forests and DR-learner for heterogeneity, sequential g-estimation/MSMs for time-varying mediation. Metrics: horizon-specific ATEs at 12/24/36 months, cumulative net revenue (monetary), IRF shapes, time-to-peak (months), half-life (months), coverage of 95% intervals, bias in placebo tests, MDE and power for each estimand, RMSE for counterfactual forecasts, permutation p-values, FWER/FDR for hypothesis families. Setup: pre-process to create reliability-adjusted satisfaction series and binary sustained indicator (≥CSAT+4 for ≥6 months); compute net revenue per customer by attribution windows (0–3, 3–12, 12–24, 24–36 months). Inference: clustered bootstrap by experimental unit; sample-splitting for ML estimators. Comparison/ablation studies: (A) local projections vs panel VAR IRFs; (B) binary sustained indicator vs continuous-dose response; (C) with vs without state-space smoothing to show impact of measurement-error correction.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 in surveys and irregular sampling may bias dose estimates; state-space smoothing can fail if measurement models are misspecified. Attrition or low survey response reduces power and may bias mediation results; mediation and indirect-effect estimates can be underpowered. Instruments or encouragements may violate exclusion restrictions, producing invalid IV estimates. Cross-channel spillovers (digital, phone, app, branch) and staff sharing can contaminate randomization and bias ATEs. Dynamic estimators (VAR/VECM, Monte-Carlo simulations) require long panels and can be sensitive to model order and cointegration failures. Heterogeneity estimates from causal ML may overfit without proper sample-splitting. Results may not generalize beyond the bank or country context. Privacy and disclosure risk are elevated for linked datasets; complex de-identification may reduce analytic fidelity. Computational cost is high for bootstrap, Monte-Carlo, and high-dimensional causal ML, limiting scalability.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