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maternal_status_intergen_mobility</w:t>
      </w:r>
    </w:p>
    <w:p>
      <w:r>
        <w:t xml:space="preserve"> </w:t>
      </w:r>
    </w:p>
    <w:p>
      <w:pPr>
        <w:pStyle w:val="Heading2"/>
      </w:pPr>
      <w:r>
        <w:t>Title</w:t>
      </w:r>
    </w:p>
    <w:p>
      <w:r>
        <w:t>Estimating intergenerational mobility in Latin America using latent parental-status indices and quasi-experimental identification of maternal effects</w:t>
      </w:r>
    </w:p>
    <w:p>
      <w:r>
        <w:t xml:space="preserve"> </w:t>
      </w:r>
    </w:p>
    <w:p>
      <w:pPr>
        <w:pStyle w:val="Heading2"/>
      </w:pPr>
      <w:r>
        <w:t>Short Hypothesis</w:t>
      </w:r>
    </w:p>
    <w:p>
      <w:r>
        <w:t>Higher maternal socioeconomic status, measured jointly by maternal education and ISCO-mapped occupation, causally increases children's adult education and income ranks conditional on paternal status.</w:t>
      </w:r>
    </w:p>
    <w:p>
      <w:r>
        <w:t xml:space="preserve"> </w:t>
      </w:r>
    </w:p>
    <w:p>
      <w:pPr>
        <w:pStyle w:val="Heading2"/>
      </w:pPr>
      <w:r>
        <w:t>Related Work</w:t>
      </w:r>
    </w:p>
    <w:p>
      <w:r>
        <w:t>Existing research measures intergenerational mobility using parental education or income and sometimes parental occupation, and uses designs such as instrumental variables (IV), sibling fixed effects (sibling-FE), and regression discontinuity (RD) to identify causal links. Limitations of prior approaches include: (1) reliance on single-dimension proxies (education only or occupation only) that ignore multidimensional family status; (2) limited attention to mothers as independent contributors compared with fathers; (3) weak handling of measurement error in parental variables and lack of latent-status construction across countries; (4) insufficient propagation of record-linkage and geocode uncertainty into estimates; (5) sparse pre-specified falsification and weak-instrument sensitivity procedures; and (6) limited cross-country harmonization and measurement-invariance checks, which reduce comparability of mobility estimates across Latin American settings.</w:t>
      </w:r>
    </w:p>
    <w:p>
      <w:r>
        <w:t xml:space="preserve"> </w:t>
      </w:r>
    </w:p>
    <w:p>
      <w:pPr>
        <w:pStyle w:val="Heading2"/>
      </w:pPr>
      <w:r>
        <w:t>Abstract</w:t>
      </w:r>
    </w:p>
    <w:p>
      <w:r>
        <w:t>This project measures intergenerational mobility in education and income ranks across five Latin American countries by combining parental education and occupation into a latent family-status index and isolating maternal contributions with quasi-experimental designs. We construct weighted latent-status scores (education + ISCO-mapped occupation + assets) using graded-response IRT and confirmatory factor analysis, test measurement invariance across countries, and produce posterior draws of factor scores to represent measurement uncertainty. Causal identification uses sibling fixed effects, policy or cohort IVs, and spatial RD where appropriate; spatial linkage and geomask uncertainty are propagated into inference. Main contributions are: (1) a harmonized, multidimensional parental-status measure that explicitly quantifies maternal informativeness; (2) pre-registered falsification and weak-instrument protocols; and (3) end-to-end uncertainty propagation from linkage, geocoding, and latent scoring into mobility and mediation estimates. Expected outcomes are rigorous, spatially disaggregated estimates of how much mothers contribute to children’s adult ranks and transparent decision rules for policy-relevant interpretation.</w:t>
      </w:r>
    </w:p>
    <w:p>
      <w:r>
        <w:t xml:space="preserve"> </w:t>
      </w:r>
    </w:p>
    <w:p>
      <w:pPr>
        <w:pStyle w:val="Heading2"/>
      </w:pPr>
      <w:r>
        <w:t>Experiments</w:t>
      </w:r>
    </w:p>
    <w:p>
      <w:r>
        <w:t>Datasets: Brazil (PNAD/PNADC, POF, CadÚnico, SINASC, RAIS/CAGED), Mexico (ENIGH, ENOE, ENSANUT, CONEVAL program maps), Chile (CASEN, Registro Social de Hogares, SIMCE), plus available waves in Ecuador and Panama. Include sample cohorts born 1960–2000 where adult outcomes observed. Baselines: (A) father-only proxies, (B) mother-only proxies, (C) parent-averaged raw education, (D) latent-status index (parents combined). Identification strategies: sibling-FE, IV (schooling reforms, program eligibility, distance-to-service), and spatial RD (program rollout boundaries). Measurement models: graded-response IRT -&gt; CFA -&gt; posterior factor-score draws. Evaluation metrics: intergenerational rank correlation, intergenerational elasticity (IGE) for education and log earnings, first-stage F-statistic, partial R-squared, complier share, 95% CI coverage, CI width, MDE (minimum detectable effect), bias under simulated linkage error, and false-positive rate in placebo tests. Experimental setup: (1) Harmonize variables to ISCED and ISCO-08; (2) estimate latent-status scores with 1,000 posterior draws; (3) run causal models per country and pooled where measurement invariance holds; (4) cluster standard errors at survey cluster/municipality as pre-registered; (5) adjust for design effect DE = 1 + (m-1)*ICC when computing MDEs (ICC = intracluster correlation; m = avg cluster size). Ablation studies: (i) raw proxies vs latent-status; (ii) measurement-error correction (SIMEX) vs none; (iii) IV set A vs IV set B (leave-one-instrument-out); (iv) include vs exclude geocode/geomask uncertainty (multiple geomask draws). Falsification suite: placebo cohorts, placebo boundaries, McCrary density, pre-treatment balance, and spatial placebo outcomes. Deliverables: numeric MDE worksheets per country/design with ICC scenarios (0.01, 0.05, 0.1), three sensitivity simulations varying first-stage π (0.05, 0.1, 0.2) and complier shares (10%, 20%), and runnable code for all analyses.</w:t>
      </w:r>
    </w:p>
    <w:p>
      <w:r>
        <w:t xml:space="preserve"> </w:t>
      </w:r>
    </w:p>
    <w:p>
      <w:pPr>
        <w:pStyle w:val="Heading2"/>
      </w:pPr>
      <w:r>
        <w:t>Risk Factors And Limitations</w:t>
      </w:r>
    </w:p>
    <w:p>
      <w:r>
        <w:t>Data access and linkage: administrative linkages may be denied or achieve lower-than-expected matches for non-co-resident mothers, reducing effective sample size; conservative linkage priors must be assumed. Instrument strength: some IVs may be weak (low first-stage π), yielding imprecise LATE estimates and requiring AR/CLR intervals or bounded-IV reporting. Measurement invariance: latent-status scales may not meet scalar invariance across countries, limiting pooled inference and requiring separate country analyses. Attrition and migration: selective loss or migration can bias sibling-FE and RD results; assumptions for IPW and Lee bounds may fail. Geocode/geomask uncertainty: masked coordinates can produce spatial misclassification that inflates variance or biases spatial RD. Causal scope: IV and RD identify local average treatment effects (LATE) or local RD effects, not global causal effects. Computation and reproducibility: Monte Carlo propagation of latent and linkage uncertainty is compute-intensive (RAM/CPU requirements); reproducible outputs must respect data custodian rules, limiting public release of raw microdata. Mediation limits: causal mediation requires no unmeasured mediator–outcome confounding or strong IVs for mediators, assumptions that may not hold in observational registry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