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ecb_climate_eventstudy</w:t>
      </w:r>
    </w:p>
    <w:p>
      <w:r>
        <w:t xml:space="preserve"> </w:t>
      </w:r>
    </w:p>
    <w:p>
      <w:pPr>
        <w:pStyle w:val="Heading2"/>
      </w:pPr>
      <w:r>
        <w:t>Title</w:t>
      </w:r>
    </w:p>
    <w:p>
      <w:r>
        <w:t>Intraday event-study of ECB climate announcements on European banks' stock returns using microstructure controls and instrumental-variables identification</w:t>
      </w:r>
    </w:p>
    <w:p>
      <w:r>
        <w:t xml:space="preserve"> </w:t>
      </w:r>
    </w:p>
    <w:p>
      <w:pPr>
        <w:pStyle w:val="Heading2"/>
      </w:pPr>
      <w:r>
        <w:t>Short Hypothesis</w:t>
      </w:r>
    </w:p>
    <w:p>
      <w:r>
        <w:t>ECB climate-related announcements cause immediate changes in European banks' stock returns, and the magnitude and sign of this effect are monotonic with each bank's fossil-fuel loan exposure.</w:t>
      </w:r>
    </w:p>
    <w:p>
      <w:r>
        <w:t xml:space="preserve"> </w:t>
      </w:r>
    </w:p>
    <w:p>
      <w:pPr>
        <w:pStyle w:val="Heading2"/>
      </w:pPr>
      <w:r>
        <w:t>Related Work</w:t>
      </w:r>
    </w:p>
    <w:p>
      <w:r>
        <w:t>Prior work studies how climate risk and central bank communication affect asset prices using event studies, climate exposure measures, and text-based sentiment indices. Existing event-study approaches typically use daily returns and simple market models, which blur high-frequency informational effects and mix them with liquidity-driven moves. Climate-finance studies often rely on coarse exposure proxies or proprietary ESG scores that suffer measurement error and limited geographic granularity. Microstructure literature provides methods to separate information from liquidity at high frequency but has rarely been combined with climate or central-bank text signals. Instrumental-variable (IV) identification in this area is underused; prior IV attempts often lack geographic precision or strong first-stage diagnostics. NLP applications to central-bank texts commonly use off-the-shelf sentiment models without multi-annotator validation or channel disaggregation (e.g., supervisory vs monetary). Limitations: low-frequency returns, weak or unvalidated instruments, insufficient microstructure controls, measurement error in exposures, and limited NLP validation.</w:t>
      </w:r>
    </w:p>
    <w:p>
      <w:r>
        <w:t xml:space="preserve"> </w:t>
      </w:r>
    </w:p>
    <w:p>
      <w:pPr>
        <w:pStyle w:val="Heading2"/>
      </w:pPr>
      <w:r>
        <w:t>Abstract</w:t>
      </w:r>
    </w:p>
    <w:p>
      <w:r>
        <w:t>We estimate the causal impact of ECB climate-related communications on European banks' equity valuations using an intraday event-study that separates informational effects from liquidity artifacts. We construct minute-level abnormal returns using mid-quote prices (the midpoint of bid and ask) with microstructure filters and liquidity covariates. ECB texts are converted into a channel-tagged continuous stance index via a validated NLP pipeline. Identification leverages time- and place-based instruments (localized extreme-weather shocks mapped to lending footprints, regional fossil-fuel dependence, and unanticipated administrative dates) combined with a continuous-treatment difference-in-differences and two-stage least squares design. The main contribution is a reproducible, microstructure-aware protocol that (1) measures immediate market responses to supervisory versus monetary climate signals, (2) quantifies mediation by liquidity and trading frictions, and (3) maps return changes to funding costs and capital metrics. Expected outcome: robust intraday causal estimates of direction and size of market reactions, heterogeneity by bank exposure, and policy-relevant magnitudes for supervisory communication design.</w:t>
      </w:r>
    </w:p>
    <w:p>
      <w:r>
        <w:t xml:space="preserve"> </w:t>
      </w:r>
    </w:p>
    <w:p>
      <w:pPr>
        <w:pStyle w:val="Heading2"/>
      </w:pPr>
      <w:r>
        <w:t>Experiments</w:t>
      </w:r>
    </w:p>
    <w:p>
      <w:r>
        <w:t>Datasets: (1) minute-level trades and quotes for listed European banks (synchronized timestamps); (2) bank fundamentals and balance-sheet items (market cap, debt outstanding, RWAs, CET1); (3) time-varying exposure data (rolling 12-month fossil-fuel loan share and 3-month Δ exposure) from supervisory summaries plus Trucost/Refinitiv proxies; (4) ECB corpus (speeches, press releases, Pillar 2 letters) with channel tags; (5) localized extreme-weather event database and macro/news calendars. Preprocessing: synchronize quotes/trades, remove auction periods, apply microstructure filters (require ≥3 trades or turnover &gt;0.01% market cap per window), remove outlier prints, compute mid-quote returns and Lee–Ready signed trade returns for robustness. Event windows: primary intraday 5, 15, 60 minutes; primary multi-day 1–3 days; secondary 7–14 days. Primary estimands: minute-level AR (abnormal return = observed minus expected), intraday CAR (cumulative AR), and IV interaction coefficient (exposure × ECB surprise). Identification: orthogonalize same-minute bank returns to contemporaneous market and Euro Fama–French factors to form surprise; instrument ΔExposure with extreme-weather shocks and regional fossil dependence. Regression families: (A) AR_it = α + β Surprise_it + γ X_it + ε_it; (B) Two-stage IV where ΔExposure is instrumented and second stage estimates exposure × Surprise effects; (C) Continuous-treatment DiD with exposure intensity and bank×time fixed effects. Controls: quoted/effective spread, depth levels 1–5, turnover, Amihud, trades/min, realized vol, order imbalance. Inference: two-way clustering (bank and event), wild-cluster bootstrap if clusters are few, Conley/Driscoll–Kraay for spatial/time dependence. Multiplicity: pre-specify primary hypothesis family (intraday CARs) with Bonferroni for that family and Benjamini–Hochberg (FDR) for exploratory heterogeneities. Baselines: (1) simple market-model at minute frequency (no microstructure controls); (2) trade-return based ARs (Lee–Ready) instead of mid-quote; (3) OLS without IV; (4) dictionary-only text index. Ablations: remove liquidity covariates to test mediation; replace mid-quote with trade returns; omit IV (compare OLS vs IV); vary thin-trade thresholds (2 vs 3 trades and turnover cutoffs); use alternate instruments (drop one instrument at a time); NLP ablation comparing dictionary vs transformer models. Evaluation metrics: AR/CAR in basis points, t-statistics and p-values, first-stage F-stat and Kleibergen–Paap (for weak instruments), partial R2, Anderson–Rubin and CLR intervals, MDE/power curves, and price-impact λ (Kyle lambda) plus temporary vs permanent components (Hasbrouck decomposition). Deliverables per experiment: regression tables, diagnostic plots (lead tests, residual ACF, R²), first-stage diagnostics, power contour plots (event-count vs effect-size), and robustness/sensitivity matrices.</w:t>
      </w:r>
    </w:p>
    <w:p>
      <w:r>
        <w:t xml:space="preserve"> </w:t>
      </w:r>
    </w:p>
    <w:p>
      <w:pPr>
        <w:pStyle w:val="Heading2"/>
      </w:pPr>
      <w:r>
        <w:t>Risk Factors And Limitations</w:t>
      </w:r>
    </w:p>
    <w:p>
      <w:r>
        <w:t>Data access and confidentiality: supervisory loan-level data may be restricted, forcing reliance on proxies that introduce measurement error (exposure misclassification). Thin trading and microstructure noise: small or illiquid stocks may produce biased intraday returns and insufficient trades per window. Instrument validity: extreme-weather and fossil-dependence instruments may fail exclusion restrictions if correlated with local macro shocks; weak first-stage creates wide IV CIs. NLP errors: annotation disagreement or domain shift may bias stance index (classification error). Multiple testing: many windows, channels, and heterogeneity tests increase false positives if corrections are imperfect. Power limitations: small numbers of high-quality events or strong instruments may leave subgroup effects underpowered. Timing and overlap: overlapping announcements within the same minute complicate attribution and may reduce usable events. Mapping returns to economic quantities: converting Δstock returns to ΔPD/ΔCDS/ΔCET1 is nonlinear and sensitive to recovery, debt duration, and liquidity-driven price moves. External validity: results focused on listed European banks may not generalize to non-listed institutions or other jurisdictions. Computational scale: minute-level data across many banks and dates demands high storage and CPU resources, which may limit rapid iteration.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