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eu_funds_tfp_spatial_time</w:t>
      </w:r>
    </w:p>
    <w:p>
      <w:r>
        <w:t xml:space="preserve"> </w:t>
      </w:r>
    </w:p>
    <w:p>
      <w:pPr>
        <w:pStyle w:val="Heading2"/>
      </w:pPr>
      <w:r>
        <w:t>Title</w:t>
      </w:r>
    </w:p>
    <w:p>
      <w:r>
        <w:t>Continuous difference-in-differences and spatial panel analysis of EU cohesion funds' effects on regional total factor productivity growth</w:t>
      </w:r>
    </w:p>
    <w:p>
      <w:r>
        <w:t xml:space="preserve"> </w:t>
      </w:r>
    </w:p>
    <w:p>
      <w:pPr>
        <w:pStyle w:val="Heading2"/>
      </w:pPr>
      <w:r>
        <w:t>Short Hypothesis</w:t>
      </w:r>
    </w:p>
    <w:p>
      <w:r>
        <w:t>Greater cumulative EU cohesion fund absorption per capita causes higher regional total factor productivity (TFP) growth over 1-, 3-, 5- and 10-year horizons, with effect sizes differing by regional development level and time period.</w:t>
      </w:r>
    </w:p>
    <w:p>
      <w:r>
        <w:t xml:space="preserve"> </w:t>
      </w:r>
    </w:p>
    <w:p>
      <w:pPr>
        <w:pStyle w:val="Heading2"/>
      </w:pPr>
      <w:r>
        <w:t>Related Work</w:t>
      </w:r>
    </w:p>
    <w:p>
      <w:r>
        <w:t>Existing research evaluates EU cohesion funds using difference-in-differences (DiD), event-study, IV and spatial methods. Continuous-treatment DiD and staggered-timing approaches allow intensity-based effects but can produce negative-weighting or bias when cohorts differ. Spatial econometric work models spillovers (spatial lag, Spatial Durbin Models) but often lacks strong instruments for endogenous spatial terms. TFP measurement studies deploy micro estimators (Olley-Pakes, Levinsohn-Petrin, Ackerberg-Caves-Frazer) but face selection and exit biases when aggregated to regions. Instrumental-variable strategies based on allocation formulas are common but risk violating exclusion if allocation correlates with unobserved pre-trends. Power analyses and dynamic horizon assessment are limited in prior work, and many studies do not jointly address allocation vs absorption timing or compare multiple TFP estimators. Unresolved issues include (1) continuous-treatment functional form choice, (2) distinguishing allocation from actual absorption, (3) robust inference for spatial spillovers, and (4) measurement-error correction for funds and TFP.</w:t>
      </w:r>
    </w:p>
    <w:p>
      <w:r>
        <w:t xml:space="preserve"> </w:t>
      </w:r>
    </w:p>
    <w:p>
      <w:pPr>
        <w:pStyle w:val="Heading2"/>
      </w:pPr>
      <w:r>
        <w:t>Abstract</w:t>
      </w:r>
    </w:p>
    <w:p>
      <w:r>
        <w:t>We study how European Structural and Investment Funds influence regional total factor productivity (TFP) growth across 262 NUTS2 regions from 2000–2019. TFP measures the efficiency with which labor and capital produce output. We combine a continuous-intensity difference-in-differences design (treating fund exposure as a continuous variable), spatial panel models to capture spillovers, and an IV hierarchy based on allocation formulas to address endogeneity. We explicitly model short-, medium- and long-term horizons (1, 3–5, 10+ years) and distinguish allocation, contractual disbursement and absorption timing. Main contributions are: (1) pre-specified continuous-treatment functional forms and nonlinearity tests; (2) joint decomposition of direct and indirect (spillover) effects with spatial GMM where needed; and (3) systematic comparison of region-aggregated and micro-derived TFP estimators with measurement-error corrections. Expected outcomes are transparent, horizon-specific elasticities of TFP to fund absorption, evidence on spatial diffusion, and policy-relevant heterogeneity by regional absorptive capacity and period (pre-crisis, crisis, recovery).</w:t>
      </w:r>
    </w:p>
    <w:p>
      <w:r>
        <w:t xml:space="preserve"> </w:t>
      </w:r>
    </w:p>
    <w:p>
      <w:pPr>
        <w:pStyle w:val="Heading2"/>
      </w:pPr>
      <w:r>
        <w:t>Experiments</w:t>
      </w:r>
    </w:p>
    <w:p>
      <w:r>
        <w:t>Datasets: DG REGIO project-level allocation, contractual commitments, disbursements and absorptions (yearly, project geo); ORBIS firm-level panel for micro TFP (when available); Eurostat regional accounts (value added, employment, capital stocks); NUTS2/3 boundary shapefiles and harmonization table; nightlights and demographic controls. Time: 2000–2019; regions: 262 NUTS2 (harmonized). Baselines: (A) OLS with region and year fixed effects; (B) two-way fixed-effects DiD with continuous intensity; (C) Callaway &amp; Sant'Anna adaptation to continuous treatment (intensity bins); (D) Sun &amp; Abraham stacked event-study/local projection; (E) Spatial Durbin Model (SDM) with no instruments; (F) Spatial panel GMM with IVs (allocation-formula predicted shares). TFP specifications: primary = region-aggregated Levinsohn-Petrin; robustness = Olley-Pakes and ACF micro estimators aggregated to region. Exposure definitions: cumulative absorption per capita at 1-, 3–5-, 10+-year windows; alternative: per-firm and project-weighted capital proxy. Evaluation metrics: point estimates (elasticities per €1,000 per capita), 95% confidence intervals, p-values, pre-trend Wald test p-values, placebo false-positive rate, first-stage F and Kleibergen-Paap, Anderson-Rubin intervals, effect decomposition into direct vs indirect spillovers, and minimum detectable effect (MDE) tables. Experimental setup: harmonize boundaries; construct exposure matrices; pre-register four spatial weights (contiguity, inverse-distance 100km, k-NN k=5, cross-border adjacency); cluster SEs at NUTS2; run main specs for three periods (2000–2008, 2008–2014, 2014–2019). Ablations and comparisons: (1) functional form: linear marginal slope vs cubic splines vs 5-intensity bins (report BIC and policy-parsimonious choice); (2) allocation vs disbursement vs absorption as treatment variable; (3) spatial: no-spatial vs SDM vs spatial GMM; (4) IV vs OLS/DiD; (5) TFP estimator choice (LP vs OP vs ACF). Placebo tests: lead indicators up to 4 years, negative-control outcomes (weather-insensitive health metrics, historical cultural indicators), and randomized treatment-timing permutations. Report results for pooled sample and subgroups (high/low absorptive capacity, border/interior), marking underpowered subgroup tests as exploratory.</w:t>
      </w:r>
    </w:p>
    <w:p>
      <w:r>
        <w:t xml:space="preserve"> </w:t>
      </w:r>
    </w:p>
    <w:p>
      <w:pPr>
        <w:pStyle w:val="Heading2"/>
      </w:pPr>
      <w:r>
        <w:t>Risk Factors And Limitations</w:t>
      </w:r>
    </w:p>
    <w:p>
      <w:r>
        <w:t>Weak or invalid instruments: allocation-formula IVs may correlate with unobserved regional trends, producing biased IV estimates. Measurement error: mismeasured disbursements or absorptions and TFP estimation error attenuate effects and complicate inference. ORBIS selection bias: firm-level data may not represent all firms, causing aggregation bias. Spatial GMM fragility: many instruments or small T may produce finite-sample bias and overidentification failure. Few effective clusters: country or region clustering may be small for some tests, limiting valid inference and requiring bootstrap methods. Power limits: indirect (spillover) effects and subgroup effects may be underpowered. Boundary harmonization errors: NUTS changes over time may misallocate funds to regions. Generalizability: findings pertain to 2000–2019 EU context and may not transfer to other periods or non-EU settings. Causal limits: if allocation correlates with unobserved policy targeting, causal claims weaken even after controls.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