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true_pricing_point_of_sale</w:t>
      </w:r>
    </w:p>
    <w:p>
      <w:r>
        <w:t xml:space="preserve"> </w:t>
      </w:r>
    </w:p>
    <w:p>
      <w:pPr>
        <w:pStyle w:val="Heading2"/>
      </w:pPr>
      <w:r>
        <w:t>Title</w:t>
      </w:r>
    </w:p>
    <w:p>
      <w:r>
        <w:t>Experimental evaluation of point-of-sale true-price presentations on consumer choice using randomized survey and pilot designs</w:t>
      </w:r>
    </w:p>
    <w:p>
      <w:r>
        <w:t xml:space="preserve"> </w:t>
      </w:r>
    </w:p>
    <w:p>
      <w:pPr>
        <w:pStyle w:val="Heading2"/>
      </w:pPr>
      <w:r>
        <w:t>Short Hypothesis</w:t>
      </w:r>
    </w:p>
    <w:p>
      <w:r>
        <w:t>Presenting internalized external-cost information as a visible point-of-sale price (absolute surcharge or relative percentage) causes a reduction in purchases of higher-externality products compared to a standard price-only display.</w:t>
      </w:r>
    </w:p>
    <w:p>
      <w:r>
        <w:t xml:space="preserve"> </w:t>
      </w:r>
    </w:p>
    <w:p>
      <w:pPr>
        <w:pStyle w:val="Heading2"/>
      </w:pPr>
      <w:r>
        <w:t>Related Work</w:t>
      </w:r>
    </w:p>
    <w:p>
      <w:r>
        <w:t>Existing approaches include (a) simple eco-labels that flag sustainability attributes, (b) carbon/impact labels reporting a single metric, and (c) price-surcharge or feebate proposals that alter consumer prices to reflect externalities. Limitations in prior work are: most studies report average footprints rather than marginal impacts (so they misstate the effect of a small change in demand); many experiments are small-scale lab studies with low external validity; presentation-format comparisons (absolute money vs percent vs aggregated true-price) are sparse or inconsistent; uncertainty in life-cycle assessment (LCA) inputs is rarely propagated into consumer-facing displays or inference; identification strategies often ignore spillovers, partial compliance, and small-cluster inference problems; and auditing/gaming detection, privacy (differential privacy) trade-offs, and realistic legal/tax constraints are underexplored. These gaps leave unresolved how to present true prices at scale in a legally robust and scientifically defensible way.</w:t>
      </w:r>
    </w:p>
    <w:p>
      <w:r>
        <w:t xml:space="preserve"> </w:t>
      </w:r>
    </w:p>
    <w:p>
      <w:pPr>
        <w:pStyle w:val="Heading2"/>
      </w:pPr>
      <w:r>
        <w:t>Abstract</w:t>
      </w:r>
    </w:p>
    <w:p>
      <w:r>
        <w:t>We study how to present 'true prices'—final selling prices that internalize environmental external costs—at the point of sale so that consumers respond in ways that reduce aggregate externalities. We compare label formats (absolute euro surcharge, relative percentage, aggregated true price with uncertainty, and no information) using a large randomized online choice survey of 1,400 Dutch and Danish consumers and a linked pilot design for clustered retail data. Methodologically we combine randomized treatment inference (cluster-robust estimators), causal ML for heterogeneous treatment effects (DML/causal forests), IV/LATE for partial compliance, and hierarchical Bayesian LCA measurement models that propagate uncertainty into welfare estimates (compensating variation). Contributions are: (1) precise, preregistered estimands and decision rules that map consumer responses to welfare bounds; (2) a power/MDE simulation engine that jointly models clustering, attrition, compliance heterogeneity, and spillovers; and (3) operational small-cluster inference recipes and LCA marginality validation protocols. Expected outcomes are clear, evidence-based recommendations for label format, uncertainty presentation, and pilot design that are reproducible and regulator-ready.</w:t>
      </w:r>
    </w:p>
    <w:p>
      <w:r>
        <w:t xml:space="preserve"> </w:t>
      </w:r>
    </w:p>
    <w:p>
      <w:pPr>
        <w:pStyle w:val="Heading2"/>
      </w:pPr>
      <w:r>
        <w:t>Experiments</w:t>
      </w:r>
    </w:p>
    <w:p>
      <w:r>
        <w:t>Datasets: (1) Online randomized choice survey: N=1,400 respondents (700 Dutch, 700 Danish), each faces repeated discrete choice menus across product categories (groceries: perishables; household consumables). (2) Synthetic scanner dataset for power calibration: simulated 100 stores x 50 shoppers per store and temporal sales to model clustering, spillovers, and attrition. (3) Field pilot (planned): clustered randomized trial in grocery channel with 100 stores randomized to treatments, staggered rollout cohorts, and validation subsample of 200 supplier-lots for LCA audits. Baselines: (A) price-only (no externality info), (B) absolute surcharge label (e.g., €0.20), (C) relative percentage label (e.g., +5%), (D) aggregated true-price with uncertainty band, (E) per-impact breakdown (GHG, water, biodiversity), and (F) revenue-recycling message variant. Primary outcomes: change in purchase share of high-externality products, mean externality per transaction, and quantity demanded. Secondary outcomes: compensating variation (CV, consumer welfare in euros), WTP shifts, comprehension score, trust rating, click/QR engagement. Statistical methods: cluster-robust difference-in-means for ATEs, 2SLS for LATE under partial compliance (first stage: assignment→uptake), Callaway–Sant'Anna or Sun–Abraham for staggered cohorts, DML/causal forest for HTEs, hierarchical Bayesian LCA to produce posterior draws propagated into CV via Monte Carlo, and SIMEX or EIV corrections for scanner measurement error. Ablations: (1) uncertainty band removed vs present, (2) aggregated vs separated impact components, (3) revenue-recycling language present vs absent. Robustness and pre-registered falsification: pre-trend p-threshold for event-study (p&gt;0.10 indicates violation), Rosenbaum sensitivity analysis (report δ at which effect becomes insignificant), Oster-style delta bounds (report δ that reduces effect by 50%), overlap diagnostics (minimum propensity weight &gt;0.05), and placebo permutation tests (store-level assignment shuffles). Small-cluster inference: wild-cluster bootstrap, cluster-level randomization inference, and permutation/placebo designs with bias-corrected point estimates for cases with &lt;50 clusters. Power/MDE: use simulation engine that jointly varies ICC in [0.01,0.05], attrition {0,10,20}%, compliance heterogeneity (two-sided uptake), and spillover rates {0,5,10}%; target MDE ≈3–5% for primary purchase-share outcome given 100 clusters×50 shoppers; report full scenario tables.</w:t>
      </w:r>
    </w:p>
    <w:p>
      <w:r>
        <w:t xml:space="preserve"> </w:t>
      </w:r>
    </w:p>
    <w:p>
      <w:pPr>
        <w:pStyle w:val="Heading2"/>
      </w:pPr>
      <w:r>
        <w:t>Risk Factors And Limitations</w:t>
      </w:r>
    </w:p>
    <w:p>
      <w:r>
        <w:t>1) Identification assumptions: DiD requires parallel trends (may fail in staggered retail data); IV/LATE requires exclusion restriction (instrument affects outcome only via uptake); DML/causal forest needs no unmeasured confounders for valid conditional effect estimates. 2) Small-cluster inference: with fewer than ~50 clusters standard SEs may be biased; inference becomes less reliable and permutation methods may have low power. 3) LCA marginality and data gaps: databases often report average intensities not marginal impacts; supplier-level data may be missing or inconsistent, biasing surcharge estimates. 4) Measurement error: scanner quantities/prices and LCA inputs have noise; correction methods (SIMEX/IV) reduce but do not eliminate residual bias. 5) Spillovers and equilibrium effects: short-run pilot ATEs may not map cleanly to long-run market equilibrium or durable-good rebound effects without long time-series and structural assumptions. 6) Privacy and DP trade-offs: applying differential privacy (DP) to protect consumers will distort displayed numbers; choosing epsilon (privacy parameter) changes utility and downstream estimator bias. 7) Legal and tax classification risk: surcharges may be re-classified as taxes in some jurisdictions, affecting partner willingness. 8) Gaming and audit costs: suppliers or retailers could misreport inputs; audits increase operational cost and may limit scale. 9) External validity: online survey respondents and single-country pilots (NL/DK) may not generalize to other markets or demographic segments. 10) Resource limits: high-quality LCA validation, audits, and multi-jurisdiction legal work require substantial budget and time, constraining rapid scale.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