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markup_product_diff_airlines</w:t>
      </w:r>
    </w:p>
    <w:p>
      <w:r>
        <w:t xml:space="preserve"> </w:t>
      </w:r>
    </w:p>
    <w:p>
      <w:pPr>
        <w:pStyle w:val="Heading2"/>
      </w:pPr>
      <w:r>
        <w:t>Title</w:t>
      </w:r>
    </w:p>
    <w:p>
      <w:r>
        <w:t>A markup-decomposition framework integrating product differentiation and instrumented marginal costs to measure airline profitability dynamics</w:t>
      </w:r>
    </w:p>
    <w:p>
      <w:r>
        <w:t xml:space="preserve"> </w:t>
      </w:r>
    </w:p>
    <w:p>
      <w:pPr>
        <w:pStyle w:val="Heading2"/>
      </w:pPr>
      <w:r>
        <w:t>Short Hypothesis</w:t>
      </w:r>
    </w:p>
    <w:p>
      <w:r>
        <w:t>Including explicit product-differentiation attributes in a supply-side markup decomposition and instrumenting marginal costs with regional fuel shocks causes at least a 20% reduction in unexplained year-to-year firm-level markup variance compared to a baseline decomposition that omits product differentiation.</w:t>
      </w:r>
    </w:p>
    <w:p>
      <w:r>
        <w:t xml:space="preserve"> </w:t>
      </w:r>
    </w:p>
    <w:p>
      <w:pPr>
        <w:pStyle w:val="Heading2"/>
      </w:pPr>
      <w:r>
        <w:t>Related Work</w:t>
      </w:r>
    </w:p>
    <w:p>
      <w:r>
        <w:t>Existing approaches estimate demand with discrete-choice frameworks (e.g., random-coefficients models) and recover markups via supply-side first-order conditions or structural equilibrium (e.g., multi-product Bertrand). Researchers have used fuel-price instruments and limited cost proxies to address endogeneity. Limitations remain: most markup decompositions do not explicitly incorporate detailed product-differentiation attributes (schedule quality, ancillaries, nonstop vs connecting), cost measurement is coarse or untriangulated, IV validity is only partially tested and often not robust to weak instruments, inventory dynamics are handled only approximately, and non-public fare selection (corporate/NDC fares) is not systematically detected. Machine-learning methods have been applied to demand heterogeneity but often without pre-specified cross-fitting rules that protect identification. These gaps leave open how product differentiation mechanically drives markup changes and how robust those inferences are to cost and instrument uncertainty.</w:t>
      </w:r>
    </w:p>
    <w:p>
      <w:r>
        <w:t xml:space="preserve"> </w:t>
      </w:r>
    </w:p>
    <w:p>
      <w:pPr>
        <w:pStyle w:val="Heading2"/>
      </w:pPr>
      <w:r>
        <w:t>Abstract</w:t>
      </w:r>
    </w:p>
    <w:p>
      <w:r>
        <w:t>We study how product differentiation drives markup and profitability dynamics in U.S. airlines by developing a pre-registered, reproducible markup-decomposition framework that combines explicit itinerary attributes, instrumented marginal-costs, and supply-side equilibrium estimation. The approach extends classic decomposition methods by integrating product attributes (e.g., nonstop versus connecting, schedule quality, ancillaries) into the markup term and by mapping T-100 operating segments to itinerary marginal costs using an ASM-weighted rule (ASM = available seat miles). We validate instruments with falsification tests and weak-instrument-robust procedures (e.g., Anderson–Rubin and conditional likelihood ratio tests). Main contributions are: (1) a transparent algorithm to allocate variable costs to itineraries and bound markups under alternative fixed/variable splits; (2) pre-specified IV and placebo diagnostics that make exclusion assumptions testable; and (3) a two-tier demand strategy that scales static estimation to full samples and runs dynamic, inventory-aware MPEC in high-volume markets. Expected outcome: regulator-ready, robust estimates of how product differentiation affects markups and welfare.</w:t>
      </w:r>
    </w:p>
    <w:p>
      <w:r>
        <w:t xml:space="preserve"> </w:t>
      </w:r>
    </w:p>
    <w:p>
      <w:pPr>
        <w:pStyle w:val="Heading2"/>
      </w:pPr>
      <w:r>
        <w:t>Experiments</w:t>
      </w:r>
    </w:p>
    <w:p>
      <w:r>
        <w:t>Datasets: DB1B sample of tickets (fare, booking horizon, fare class), T-100 segment-level costs (fuel, crew, maintenance), GDS and airline web-scrapes for ancillaries and schedule attributes, ARC/OTA auxiliary panels where available, regional refinery outage logs and refined-fuel basis spreads, aircraft registry and BADA/ICAO fuel-burn tables. Market definition: MSA-to-MSA city pairs; sensitivity to metro-pair. Baselines: (A) static BLP demand + supply FOC markups without product attributes; (B) static BLP with product attributes included only in demand; (C) MPEC supply estimation without cost triangulation; (D) Tier-A static inventory-aware BLP. Proposed estimators: primary MPEC with product-differentiation-aware costs, fallback two-step GMM/control-function. Evaluation metrics: out-of-sample price RMSE, log-likelihood, mean absolute error of markups, explained variance of year-to-year markup changes, IV diagnostics (first-stage F&gt;10, partial R2&gt;0.02, Shea’s R2, Kleibergen-Paap), weak-IV robust CIs (Anderson-Rubin, CLR), and power/minimum detectable effect (MDE) tables by market type. Experimental setup: preregister 10% market-level holdouts and one-year temporal holdout; run cost-allocation baseline (70/30 variable/fixed) and sensitivity bounds (50/50, 90/10); detect probable non-public fares using fare-code/agency flags and &gt;3 MAD fare anomalies; perform ablation studies: remove product attributes from supply FOC, omit fuel-IV, and drop cost-triangulation to measure change in unexplained markup variance; compare Tier-A static vs Tier-B dynamic MPEC in top 20% seat-volume markets; report bootstrap clustered inference and ML cross-fitting with pre-specified folds (5-fold) for causal-forest heterogeneity checks.</w:t>
      </w:r>
    </w:p>
    <w:p>
      <w:r>
        <w:t xml:space="preserve"> </w:t>
      </w:r>
    </w:p>
    <w:p>
      <w:pPr>
        <w:pStyle w:val="Heading2"/>
      </w:pPr>
      <w:r>
        <w:t>Risk Factors And Limitations</w:t>
      </w:r>
    </w:p>
    <w:p>
      <w:r>
        <w:t>Technical failure modes: MPEC may not converge in large high-dimensional markets (computational limit). Data biases: DB1B and GDS may miss non-public/NDC fares leading to selection bias. IV risks: fuel instruments may violate exclusion if fuel shocks correlate with local demand (placebo risk). Measurement error: T-100 allocations are proxies and could introduce classical or systematic errors that bias markups. ML risks: causal-forest or local-IV methods can overfit without strict cross-fitting rules (identification risk). Inference limits: few clusters (small number of carriers or concentrated markets) can invalidate asymptotic cluster robust SEs. Scalability: dynamic MPEC is compute-intensive and may be feasible only for top markets. Generalization: results based on U.S. carriers and DB1B sampling frame may not generalize to other countries or to full populations including proprietary contract fares. Privacy/utility trade-off: synthetic data with differential privacy noise may reduce accuracy of fine-grained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