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epistemic_virtue_multilevel</w:t>
      </w:r>
    </w:p>
    <w:p>
      <w:r>
        <w:t xml:space="preserve"> </w:t>
      </w:r>
    </w:p>
    <w:p>
      <w:pPr>
        <w:pStyle w:val="Heading2"/>
      </w:pPr>
      <w:r>
        <w:t>Title</w:t>
      </w:r>
    </w:p>
    <w:p>
      <w:r>
        <w:t>Multilevel and agent-based investigation of individual epistemic virtue as a driver of scientific reliability under competing structural incentive explanations</w:t>
      </w:r>
    </w:p>
    <w:p>
      <w:r>
        <w:t xml:space="preserve"> </w:t>
      </w:r>
    </w:p>
    <w:p>
      <w:pPr>
        <w:pStyle w:val="Heading2"/>
      </w:pPr>
      <w:r>
        <w:t>Short Hypothesis</w:t>
      </w:r>
    </w:p>
    <w:p>
      <w:r>
        <w:t>Higher average individual epistemic virtue within scientific teams causally increases team-level research reliability (higher replication rates and open research practices) after accounting for structural incentive variables.</w:t>
      </w:r>
    </w:p>
    <w:p>
      <w:r>
        <w:t xml:space="preserve"> </w:t>
      </w:r>
    </w:p>
    <w:p>
      <w:pPr>
        <w:pStyle w:val="Heading2"/>
      </w:pPr>
      <w:r>
        <w:t>Related Work</w:t>
      </w:r>
    </w:p>
    <w:p>
      <w:r>
        <w:t>Existing approaches explain scientific reliability mainly with structural accounts: incentive-economics models (publication pressure, credit allocation), invisible-hand/division-of-labor theories (system-level coordination without invoking character), and institutional-reform proposals (policy, open-science mandates). Reproducibility literature documents failures and links them to incentives, questionable research practices, and methodological issues. Limitations: structural accounts often treat individuals as interchangeable and do not measure personal epistemic traits; psychometric work on intellectual humility and epistemic virtues is fragmented and rarely integrated with team- or network-level outcomes; existing studies lack preregistered multilevel causal tests, quantitative qual→quant calibration, and joint validation with agent-based models (ABMs). Bibliometric proxies for openness and replication are noisy and biased without ethnographic grounding. Few methods jointly combine CFA-preregistered measurement, multilevel SEM mediation, ABM calibration (with explicit distance metrics), and privacy-preserving data linkage.</w:t>
      </w:r>
    </w:p>
    <w:p>
      <w:r>
        <w:t xml:space="preserve"> </w:t>
      </w:r>
    </w:p>
    <w:p>
      <w:pPr>
        <w:pStyle w:val="Heading2"/>
      </w:pPr>
      <w:r>
        <w:t>Abstract</w:t>
      </w:r>
    </w:p>
    <w:p>
      <w:r>
        <w:t>We study whether individual epistemic virtues (e.g., intellectual humility, openness) are necessary causes of reliable collective scientific outcomes, versus structural incentive explanations. We combine preregistered psychometric measurement (confirmatory factor analysis with invariance testing), multilevel structural equation models (individual and team levels), calibrated agent-based models (ABMs), and linked bibliometric and ethnographic benchmarks. Main contributions: (1) a canonical multilevel estimand and measurement battery for individual epistemic virtues; (2) a preregistered inferential pipeline that tests direct and mediated team-level effects while controlling for incentive structures; (3) ABM rules and calibration criteria that make micro–macro mechanisms explicit (including an explicit Bayes-update and trust dynamics); (4) reproducible data-linkage and privacy protocols. Expected outcome: clear empirical bounds on how much individual virtue contributes to reproducibility and open practices, and identification of institutional regimes where virtue matters most. Results will inform theory on collective epistemic success and practical designs for incentives and training.</w:t>
      </w:r>
    </w:p>
    <w:p>
      <w:r>
        <w:t xml:space="preserve"> </w:t>
      </w:r>
    </w:p>
    <w:p>
      <w:pPr>
        <w:pStyle w:val="Heading2"/>
      </w:pPr>
      <w:r>
        <w:t>Experiments</w:t>
      </w:r>
    </w:p>
    <w:p>
      <w:r>
        <w:t>Datasets: (A) Pilot: 12–16 research teams across four disciplines (biomedicine, psychology, data/computation, engineering); within-team roles quota (PI/senior, postdoc/tech, graduate/data manager); per-individual survey measuring epistemic virtue items (Likert), behavioral belief-update tasks, and consented artifact collection; 80 hours ethnography per team and 6–10 interviews per team. (B) Main: target 80–120 teams for detecting small team-level effects, with team sizes = 5, 8, 12 (individuals per team). (C) Bibliometric harvest: publications, authorship, citation, open-data/code flags; network edges (coauthorship). Baselines: (1) structural-only model: team reliability ~ incentive variables (publication pressure, funding, institutional metrics) + controls; (2) aggregated-virtue-only: team reliability ~ team-mean virtue; (3) null: no virtue or structural predictors. Primary model: preregistered multilevel SEM (individual-level predictors humility_ij, openness_ij; team aggregates team_humility_j; random intercepts u_j). Measurement: CFA preregistered (configural→metric→scalar) with fit thresholds CFI ≥ 0.95 (≥0.90 acceptable), RMSEA ≤ 0.06 (≤0.08 acceptable), SRMR ≤ 0.08; invariance ΔCFI ≤ 0.01, ΔRMSEA ≤ 0.015. Imputation: MICE with m = max(20, round(percentage_missing*2)); priming predictors include demographics, role, and past openness indicators. Estimands: team-level total effect of team_mean_virtue on replication_rate (replication_rate = proportion of attempted replications or bibliometric replication proxies). Evaluation metrics: standardized multilevel effect sizes d (team-level), McDonald’s omega (reliability) ≥ 0.70, model fit indices above, Bayes factor &gt; 3 for evidence, mediation indirect effect p-values and 95% CIs, replication-rate MAE between observed and ABM-predicted. Power and simulations: publish ICC-driven power sweep scripts across ICCs {0.05,0.10,0.20} and team sizes {5,8,12}; report MDE tables. ABM calibration: implement explicit BayesUpdate (see ABM spec) and trust dynamics; use ABC-SMC with Euclidean distance on summary vector S = [replication_rate, polarization_index, network_centralization]; acceptance schedule: decreasing epsilons starting at 90th percentile of simulated distances, continue until epsilon ≤ 0.01 or effective sample size ≥ 1000; stopping rule also if 50 SMC rounds reached. Comparison/ablation studies: (A) remove individual-level virtue predictors (test attenuation); (B) collapse virtues to single aggregate vs. separated traits (humility vs openness); (C) ABM scenarios with static vs. dynamic trust_ij; (D) calibration using full summary S vs. single-statistic calibration to assess identifiability. Reproducibility: all code, seeds, Dockerfile, CI tests, and preregistrations published; privacy: salted-HMAC linking and AES-256 for sensitive files.</w:t>
      </w:r>
    </w:p>
    <w:p>
      <w:r>
        <w:t xml:space="preserve"> </w:t>
      </w:r>
    </w:p>
    <w:p>
      <w:pPr>
        <w:pStyle w:val="Heading2"/>
      </w:pPr>
      <w:r>
        <w:t>Risk Factors And Limitations</w:t>
      </w:r>
    </w:p>
    <w:p>
      <w:r>
        <w:t>Measurement risk: self-report and vignette mappings may misclassify virtues; CFA may fail scalar invariance across disciplines. Small-cluster inference: with few teams or high ICCs, team-level estimates will have low precision and standard errors may be biased; mediation at team level may lack degrees of freedom. ABM identifiability: multiple parameter combinations can yield similar summary statistics (non-identifiability). Calibration/compute: ABC-SMC and Sobol sensitivity require large compute (estimated 1,000–10,000 core-hours depending on Monte Carlo replications); insufficient compute limits robustness. Bibliometric bias: author-disambiguation and contribution statements are noisy and may undercount invisible labor. Privacy trade-offs: strong differential privacy (small epsilon) reduces utility of synthetic data; choosing epsilon/delta is a policy decision and constrains release fidelity. Causal inference limits: observational multilevel SEM can be confounded by unmeasured selection into teams and reverse causation (reliable teams may attract virtuous individuals). Generalization: pilot across four disciplines may not generalize to all fields or non-academic research cultures. Missing data: high nonresponse in certain roles (e.g., data managers) can bias team aggregates. Governance complexity: multi-jurisdictional IRB processes can delay data collection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