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women_founder_visibility_germany</w:t>
      </w:r>
    </w:p>
    <w:p>
      <w:r>
        <w:t xml:space="preserve"> </w:t>
      </w:r>
    </w:p>
    <w:p>
      <w:pPr>
        <w:pStyle w:val="Heading2"/>
      </w:pPr>
      <w:r>
        <w:t>Title</w:t>
      </w:r>
    </w:p>
    <w:p>
      <w:r>
        <w:t>Latent-class and linked digital-trace analysis of visibility practices and outcomes among women tech founders in Germany</w:t>
      </w:r>
    </w:p>
    <w:p>
      <w:r>
        <w:t xml:space="preserve"> </w:t>
      </w:r>
    </w:p>
    <w:p>
      <w:pPr>
        <w:pStyle w:val="Heading2"/>
      </w:pPr>
      <w:r>
        <w:t>Short Hypothesis</w:t>
      </w:r>
    </w:p>
    <w:p>
      <w:r>
        <w:t>Women tech founders who adopt higher levels of agentic visibility practices cause greater network centrality and higher probability of obtaining external funding than founders who adopt communal visibility practices, controlling for firm age and sector.</w:t>
      </w:r>
    </w:p>
    <w:p>
      <w:r>
        <w:t xml:space="preserve"> </w:t>
      </w:r>
    </w:p>
    <w:p>
      <w:pPr>
        <w:pStyle w:val="Heading2"/>
      </w:pPr>
      <w:r>
        <w:t>Related Work</w:t>
      </w:r>
    </w:p>
    <w:p>
      <w:r>
        <w:t>Prior work has documented that women tech founders navigate and sometimes contest gendered expectations by varying public visibility strategies and that social-network position and public traces (profiles, posts) relate to venture outcomes. Methodological advances include using mixed methods, latent-class approaches to identify behavior typologies, and digital-trace analysis to measure network centrality and visibility. Limitations remain: many studies rely on small, non-representative qualitative samples or public-only traces without opt-in linkage, producing selection bias; cross-language measurement and invariance between German and English instruments are under-tested; privacy and re-identification risks limit reproducible network releases; and few studies pre-specify how latent-class classification uncertainty is propagated into outcome models. Existing approaches often treat visibility as a single index rather than as multiple, theory-driven behavior classes, and they rarely jointly validate qualitative codes, survey indicators, and network traces.</w:t>
      </w:r>
    </w:p>
    <w:p>
      <w:r>
        <w:t xml:space="preserve"> </w:t>
      </w:r>
    </w:p>
    <w:p>
      <w:pPr>
        <w:pStyle w:val="Heading2"/>
      </w:pPr>
      <w:r>
        <w:t>Abstract</w:t>
      </w:r>
    </w:p>
    <w:p>
      <w:r>
        <w:t>This study investigates how women tech founders in Germany actively construct public visibility and whether these practices reproduce, restructure, or undo traditional gender binaries. We combine a preregistered latent-class analysis (LCA) of survey indicators with opt-in linked digital traces (LinkedIn, Crunchbase, GitHub, X) and qualitative interviews and diaries. The main contribution is a reproducible mixed-method pipeline that maps theory-driven visibility behaviors into latent classes and quantifies their association with network centrality and funding outcomes. We predefine analytic rules for LCA, classification uncertainty propagation, measurement invariance across German/English instruments, and privacy-preserving network release (synthetic graphs with tunable privacy parameters). Expected outcomes include validated latent classes of visibility practice, evidence on how agentic versus communal visibility predicts centrality and funding probability, and open, privacy-safe artifacts (synthetic networks, codebooks) to support replication and policy-relevant recommendations.</w:t>
      </w:r>
    </w:p>
    <w:p>
      <w:r>
        <w:t xml:space="preserve"> </w:t>
      </w:r>
    </w:p>
    <w:p>
      <w:pPr>
        <w:pStyle w:val="Heading2"/>
      </w:pPr>
      <w:r>
        <w:t>Experiments</w:t>
      </w:r>
    </w:p>
    <w:p>
      <w:r>
        <w:t>Datasets: 1) Survey dataset of N=400 women tech founders in Germany, containing 10–12 preregistered indicators of visibility (agentic language index, communal language index, pitch risk framing, boundary-setting, hiring/diversity signals, formal inclusion policies, mentorship ties, visibility score, investor interaction intensity, self-reported gender-practice items). 2) Qualitative interviews N=40–60 (bilingual DE/EN) and diaries N≈80 (8 weeks). 3) Opt-in linked digital traces for consenting founders: LinkedIn, Crunchbase, GitHub, X snapshots (pilot target ≥60% linkage). 4) Male comparator cohort N=200–300 matched on age, firm age, sector, geography. Baselines: A) continuous-index models using principal-component visibility scores; B) survey-only LCA without network covariates; C) network-only models predicting funding. Methods and evaluation metrics: 1) Latent-class analysis (LCA) pre-specified primary solution k=3; estimators MLR (continuous/ordinal) and WLSMV (ordinal). Fit indices: BIC, AIC, entropy (measure of classification quality: 0–1), average posterior probabilities per class. 2) Classification uncertainty propagation: primary approach BCH (a method that preserves latent-class assignment uncertainty for distal outcomes); sensitivity: probability-weighted regression and pseudo-class draws. 3) Outcome models: multilevel logistic regression for funding receipt (metrics: odds ratios, AUC for binary prediction), linear regression for funding amount (R2, standardized β), Cox proportional-hazards event-history for time-to-funding (hazard ratios). Include covariates: firm age, sector, founder age, accelerator membership, migration status. 4) Network analysis: compute node-level centralities (degree, betweenness, eigenvector) and community structure (Louvain modularity). Evaluate centrality as predictor: Pearson r with visibility indices and incremental predictive gain (ΔAUC, ΔR2) when adding centrality to survey models. 5) Missing data &amp; selection: implement MICE with m=50 imputations; implement IPW for opt-in linkage in outcome models. 6) Privacy/synthetic-data evaluation: generate synthetic graphs via ERGM/PrivBayes plus edge-differential-privacy at ε ∈ {1.0,0.5,0.25}; report utility: degree-distribution MSE, normalized mutual information (NMI) for communities, and recovery of top‑k broker nodes. Experimental setup and comparisons: - Monte Carlo power simulations: 1,000 replications for N=400 under balanced and imbalanced class prevalences and factor-loading grids specified in the plan; report class recovery and power to detect ORs=1.5/2.0. - Ablation 1: compare models with (survey+network) versus without network features to quantify incremental prediction of funding (report ΔAUC, ΔR2). - Ablation 2: compare primary BCH distal-outcome approach to probability-weighted regression and pseudo-class draws (report changes in coefficient estimates and SEs). - Ablation 3: test measurement-invariance adjustments (configural → metric → scalar) across DE/EN; compare LCA solutions before and after alignment (report latent-mean shifts). Baseline model checks and robustness: run sensitivity analyses varying linkage rate assumptions (60%, 40%, 20%) and re-run IPW and Heckman corrections; report results in reproducible notebooks. All code, simulation seeds, and synthetic datasets (data dictionary included) will be versioned and containerized (Docker) and archived with a version tag published at preregistration; identifiable raw traces remain enclave-only.</w:t>
      </w:r>
    </w:p>
    <w:p>
      <w:r>
        <w:t xml:space="preserve"> </w:t>
      </w:r>
    </w:p>
    <w:p>
      <w:pPr>
        <w:pStyle w:val="Heading2"/>
      </w:pPr>
      <w:r>
        <w:t>Risk Factors And Limitations</w:t>
      </w:r>
    </w:p>
    <w:p>
      <w:r>
        <w:t>1) Sample and subgroup power: N=400 may not yield stable LCA recovery for small intersectional subgroups (e.g., migration-status × sector cells). 2) Selection and linkage bias: opt-in linkage may be &lt;60% or nonrandom, biasing network estimates and reducing power; IPW and Heckman adjustments may not fully correct unobserved selection. 3) Measurement invariance: German/English instrument differences may prevent scalar invariance, limiting valid mean comparisons across language groups. 4) Classification uncertainty: low entropy solutions reduce confidence in assigning individuals to latent classes and increase variance in downstream estimates. 5) Privacy and reproducibility trade-offs: aggressive privacy (low ε) reduces synthetic-network utility for network metrics; permissive settings increase re-identification risk. 6) Causal inference limits: observational design and concurrent measurement constrain causal claims; unobserved confounding may bias associations between visibility practices and funding. 7) Data quality and matching errors: automated linkage and entity resolution may produce false matches or missed links, affecting network centrality measures. 8) Scalability and compute: Monte Carlo grids, MCMC alignment, and synthetic-graph generation can be computationally intensive and require substantial compute resources. 9) Generalization: findings from Germany’s tech ecosystem may not generalize to other national or sectoral contexts due to cultural and institutional differences.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