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santander_export_growth_regression</w:t>
      </w:r>
    </w:p>
    <w:p>
      <w:r>
        <w:t xml:space="preserve"> </w:t>
      </w:r>
    </w:p>
    <w:p>
      <w:pPr>
        <w:pStyle w:val="Heading2"/>
      </w:pPr>
      <w:r>
        <w:t>Title</w:t>
      </w:r>
    </w:p>
    <w:p>
      <w:r>
        <w:t>Multiple linear regression analysis of determinants of export firm growth in Santander, Colombia (2010–2020)</w:t>
      </w:r>
    </w:p>
    <w:p>
      <w:r>
        <w:t xml:space="preserve"> </w:t>
      </w:r>
    </w:p>
    <w:p>
      <w:pPr>
        <w:pStyle w:val="Heading2"/>
      </w:pPr>
      <w:r>
        <w:t>Short Hypothesis</w:t>
      </w:r>
    </w:p>
    <w:p>
      <w:r>
        <w:t>Higher firm growth in export revenue is caused by larger firm size, stronger liquidity, greater market diversification, and better logistics reliability, controlling for industry and year effects.</w:t>
      </w:r>
    </w:p>
    <w:p>
      <w:r>
        <w:t xml:space="preserve"> </w:t>
      </w:r>
    </w:p>
    <w:p>
      <w:pPr>
        <w:pStyle w:val="Heading2"/>
      </w:pPr>
      <w:r>
        <w:t>Related Work</w:t>
      </w:r>
    </w:p>
    <w:p>
      <w:r>
        <w:t>Prior work uses cross‑sectional and short‑panel regression models and data‑driven market selection tools to link firm financial indicators, market opportunity scores, and logistics metrics to export outcomes. Common approaches include ordinary least squares (OLS) regressions, fixed‑effects panel models (which control for unobserved time‑invariant firm traits), Lasso/penalized regressions (for variable selection), and factor or PCA (principal component analysis, a method that compresses correlated variables into fewer combined factors). Limitations in existing methods include: reliance on short time windows or single‑year snapshots, weak handling of multicollinearity (correlated predictors), inadequate treatment of missing not at random (MNAR) data, limited out‑of‑sample validation and backtests, ad‑hoc normalization and weighting rules, and scarce integration of regulatory risk as a calibrated probabilistic overlay. These gaps reduce reproducibility and operational defensibility for policy or SME decision rules.</w:t>
      </w:r>
    </w:p>
    <w:p>
      <w:r>
        <w:t xml:space="preserve"> </w:t>
      </w:r>
    </w:p>
    <w:p>
      <w:pPr>
        <w:pStyle w:val="Heading2"/>
      </w:pPr>
      <w:r>
        <w:t>Abstract</w:t>
      </w:r>
    </w:p>
    <w:p>
      <w:r>
        <w:t>This study examines which firm, financial and market variables drive export firm growth in Santander, Colombia over 2010–2020. Using a decade of firm‑level financial statements, regional opportunity map indicators, shipment and regulatory records for 128 exporting firms, we apply multiple linear regression and complementary models (panel fixed effects, Lasso, and Bayesian shrinkage) to estimate predictors of annual export revenue growth. We normalize and test indicator constructions, calibrate a regulatory risk sigmoid with empirical delays, and run Monte Carlo sensitivity checks (random draws from probabilistic priors) to quantify ranking stability. Main contributions: (1) an auditable, reproducible set of significant predictors with effect sizes; (2) an evaluation suite including out‑of‑sample forecasts, multicollinearity diagnostics (VIF), and MNAR sensitivity grids (pattern‑mixture and selection models); (3) operational decision thresholds tied to economically meaningful effect sizes. Expected outcome: evidence‑based guidance for SMEs and policymakers on which levers most affect export growth and defensible pilot decision rules.</w:t>
      </w:r>
    </w:p>
    <w:p>
      <w:r>
        <w:t xml:space="preserve"> </w:t>
      </w:r>
    </w:p>
    <w:p>
      <w:pPr>
        <w:pStyle w:val="Heading2"/>
      </w:pPr>
      <w:r>
        <w:t>Experiments</w:t>
      </w:r>
    </w:p>
    <w:p>
      <w:r>
        <w:t>Datasets: firm panel of 128 exporters with annual financials 2010–2020 (profit, revenue, assets, liabilities, liquidity ratios), destination‑market indicators from regional opportunity maps (addressable demand, regulatory fit, market access, competitive intensity, margin potential, logistics reliability), shipment‑level records (freight cost, clearance delays), and regulatory events (dates, severity). Baselines: (A) OLS pooled regression (ordinary least squares: standard linear regression), (B) firm fixed‑effects panel model (controls for time‑invariant firm traits), (C) random effects panel, (D) Lasso regression for variable selection (penalized regression that shrinks coefficients), (E) PCA factor regression (uses principal components), (F) Bayesian hierarchical regression (shares strength across firms). Evaluation metrics: explanatory: R2 and adjusted R2; predictive: out‑of‑sample RMSE and MAPE (mean absolute percentage error) on held‑out years (2019–2020) and rolling‑origin cross‑validation; inference: coefficient p‑values, 95% CI, standardized effect sizes; diagnostics: VIF (variance inflation factor) for multicollinearity, Brier score and AUC for binary regulatory outcomes, calibration plots and posterior predictive checks for Bayesian fits. Experimental setup: predefine random seeds, reserve 20% of firms as holdout (stratified by archetype), use rolling time blocks for temporal CV, impute missing data with MICE (multiple imputation by chained equations) and compare to a pattern‑mixture MNAR model (ablation). Ablation studies: (1) drop regulatory risk variable; (2) replace logistics and regulatory indicators with PCA factors; (3) switch Lasso vs Bayesian shrinkage; (4) vary imputation method (MICE vs pattern‑mixture vs complete‑case). Report out‑of‑sample RMSE/MAPE, change in coefficient significance, and rank stability (Spearman rho) across sensitivity runs.</w:t>
      </w:r>
    </w:p>
    <w:p>
      <w:r>
        <w:t xml:space="preserve"> </w:t>
      </w:r>
    </w:p>
    <w:p>
      <w:pPr>
        <w:pStyle w:val="Heading2"/>
      </w:pPr>
      <w:r>
        <w:t>Risk Factors And Limitations</w:t>
      </w:r>
    </w:p>
    <w:p>
      <w:r>
        <w:t>Unobserved confounding: omitted variables (e.g., managerial quality) may bias coefficients. Selection bias: sample of 128 exporters may not represent all firms and may oversample surviving or larger exporters. Missing data and MNAR: financial or shipment gaps may be non‑random and could change inferences; pattern‑mixture results may differ from MICE. Multicollinearity: correlated indicators (e.g., regulatory fit and compliance cost) can inflate variance of estimates (high VIF) and reduce interpretability. Measurement error: regulatory risk scores and logistics metrics may be noisy or subjective. Limited statistical power: 128 firms over 11 years yields moderate sample size; small effect sizes may be undetectable. Temporal nonstationarity: structural breaks (e.g., 2020 pandemic) limit extrapolation to post‑2020 periods. External validity: results may not generalize beyond Santander or similar regional contexts. Computational limits are modest but Bayesian hierarchical models may require longer runtimes; reproducibility depends on preserving seeds, code versions, and data provenance.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