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effectuation_precommitment_international_performance</w:t>
      </w:r>
    </w:p>
    <w:p>
      <w:r>
        <w:t xml:space="preserve"> </w:t>
      </w:r>
    </w:p>
    <w:p>
      <w:pPr>
        <w:pStyle w:val="Heading2"/>
      </w:pPr>
      <w:r>
        <w:t>Title</w:t>
      </w:r>
    </w:p>
    <w:p>
      <w:r>
        <w:t>Causal analysis of how pre-commitment and real options reasoning affect SME foreign market entry and international performance using mediation and experimental/quasi-experimental methods</w:t>
      </w:r>
    </w:p>
    <w:p>
      <w:r>
        <w:t xml:space="preserve"> </w:t>
      </w:r>
    </w:p>
    <w:p>
      <w:pPr>
        <w:pStyle w:val="Heading2"/>
      </w:pPr>
      <w:r>
        <w:t>Short Hypothesis</w:t>
      </w:r>
    </w:p>
    <w:p>
      <w:r>
        <w:t>Increasing firms' pre-commitment causes higher international performance by increasing foreign market entry opportunities through greater legitimacy, resource access, coordination, and experiential learning.</w:t>
      </w:r>
    </w:p>
    <w:p>
      <w:r>
        <w:t xml:space="preserve"> </w:t>
      </w:r>
    </w:p>
    <w:p>
      <w:pPr>
        <w:pStyle w:val="Heading2"/>
      </w:pPr>
      <w:r>
        <w:t>Related Work</w:t>
      </w:r>
    </w:p>
    <w:p>
      <w:r>
        <w:t>Prior work divides into two streams. Effectuation research studies how entrepreneurs act under uncertainty and highlights pre-commitments, staging logic, and affordable loss as practical decision rules; this literature is largely qualitative or cross-sectional and often documents correlations rather than causal effects. Real options and international business literatures apply option reasoning to entry timing and investment under uncertainty, but typically focus on financial valuation and large firms, not small and medium enterprises (SMEs). Empirical internationalization studies use structural equation models or PLS-SEM (a modeling method for latent constructs) and observational panel methods (DiD, IV), but they face endogeneity from time-varying shocks, measurement error in psychometric scales, weak instruments, and unclear mediation identification. Mediation analysis in field settings is often underpowered and assumes no unmeasured mediator–outcome confounders. Network and spillover complexities are seldom pre-registered. These gaps leave open causal identification of pre-commitment effects and robust mediation evidence in SMEs.</w:t>
      </w:r>
    </w:p>
    <w:p>
      <w:r>
        <w:t xml:space="preserve"> </w:t>
      </w:r>
    </w:p>
    <w:p>
      <w:pPr>
        <w:pStyle w:val="Heading2"/>
      </w:pPr>
      <w:r>
        <w:t>Abstract</w:t>
      </w:r>
    </w:p>
    <w:p>
      <w:r>
        <w:t>This study tests whether SMEs' pre-commitments and real-options reasoning causally increase international performance by generating foreign market entry opportunities via legitimacy, resource access, coordination, and experiential learning. We combine a preregistered field encouragement experiment (randomized encouragement to enact measurable pre-commitments) with quasi-experimental observational analyses (policy eligibility cutoffs, Bartik-style shocks) and longitudinal survey panels. Mediators are measured as validated scales and analyzed with causal mediation estimators and structural equation modeling. We contribute (1) a causal test of effectuation theory in SME internationalization, (2) a measurement protocol for pre-commitment subscales (magnitude, durability, governance embeddedness) with invariance testing, and (3) a decision-table of sensitivity diagnostics (E-values, Rosenbaum bounds, Oster partial-R2) linking diagnostics to claim language. Expected outcomes are robust causal estimates of pre-commitment effects, quantified mediated paths, and transparent sensitivity bounds to guide inference under realistic violations of identification assumptions. Results will clarify when pre-commitments reliably create entry opportunities and improve international outcomes for SMEs.</w:t>
      </w:r>
    </w:p>
    <w:p>
      <w:r>
        <w:t xml:space="preserve"> </w:t>
      </w:r>
    </w:p>
    <w:p>
      <w:pPr>
        <w:pStyle w:val="Heading2"/>
      </w:pPr>
      <w:r>
        <w:t>Experiments</w:t>
      </w:r>
    </w:p>
    <w:p>
      <w:r>
        <w:t>Datasets: (1) Primary survey panel of SMEs with quarterly outcomes and validated scales for pre-commitment and four mediators; (2) administrative trade data (customs exports) for foreign sales and market counts; (3) firm-level financials from Orbis/Amadeus for covariates; (4) pilot RCT sample (synthetic pilot n and pilot real n). Baselines: (A) observational PLS-SEM (partial least squares structural equation modeling, a method for latent variables), (B) DiD (difference-in-differences) panel models with firm fixed effects, (C) IV/RDD using policy cutoffs and Bartik shocks, (D) encouragement RCT estimand (local average treatment effect, LATE). Primary outcomes: entry decision (binary), number of foreign markets (count), foreign sales share (industry-country z-score), subsidiary survival (duration). Mediators: legitimacy, resource access, coordination, learning (continuous factor scores). Evaluation metrics: ATE/LATE with 95% CIs, mediated effect estimates with percent mediated, first-stage F-statistics and partial-R2 for instruments, E-values, Rosenbaum Gamma sensitivity grid, Oster delta, RMSE for predictive checks, power/MDE tables. Experimental setup: stratified randomization (country × industry × firm-size tertile), block randomization, seed-controlled scripts, target pilot n and full-sample power simulations with ICC range [.02,.10], cluster sizes 10–30, attrition scenarios 5–20%. Analysis plan: (1) estimate ITT and LATE from RCT; (2) estimate mediation via sequential ignorability estimators and compare to mediator-IV (where mediator instrument available); (3) run DiD and IV as robustness; (4) apply sensitivity diagnostics (E-values etc.) and pre-specified decision-table to grade claims; (5) report invariance tests for measurement and compare scoring methods (CFA factor scores vs PCA vs ordinal-IRT) in an ablation study. Ablations: remove staging logic items from pre-commitment index; compare mediator identification methods (sequential ignorability vs mediator-IV); compare clustered vs unit randomization; compare inclusion/exclusion of network exposure variables.</w:t>
      </w:r>
    </w:p>
    <w:p>
      <w:r>
        <w:t xml:space="preserve"> </w:t>
      </w:r>
    </w:p>
    <w:p>
      <w:pPr>
        <w:pStyle w:val="Heading2"/>
      </w:pPr>
      <w:r>
        <w:t>Risk Factors And Limitations</w:t>
      </w:r>
    </w:p>
    <w:p>
      <w:r>
        <w:t>Endogeneity: unmeasured time-varying confounders may bias mediator and outcome estimates (e.g., sudden sector demand shocks). Instrument weakness: candidate instruments may have low first-stage strength (partial-R2 small) producing wide IV CIs. Measurement error: pre-commitment and mediator scales may have misreporting or cultural non-equivalence across contexts. Attrition and MNAR: differential dropout can bias experimental ITT and mediation; missing-not-at-random (MNAR) patterns are possible. Spillovers: interference across firms (networks, supply chains) can violate SUTVA and complicate causal estimands. Power limits: subgroup analyses and mediation require large samples; small SME samples may be underpowered for small mediated effects. External validity: results from New Zealand SMEs or sampled countries may not generalize to other institutional settings or large firms. Method limits: PLS-SEM has inferential limits relative to full-likelihood SEM; quasi-experimental estimates rely on identification assumptions that can fail in practice. Computational: complex simulation-based power and sensitivity analyses require compute and careful seeding; limited compute could slow reproducibility.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