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preprocessor_variable_expertise</w:t>
      </w:r>
    </w:p>
    <w:p>
      <w:r>
        <w:t xml:space="preserve"> </w:t>
      </w:r>
    </w:p>
    <w:p>
      <w:pPr>
        <w:pStyle w:val="Heading2"/>
      </w:pPr>
      <w:r>
        <w:t>Title</w:t>
      </w:r>
    </w:p>
    <w:p>
      <w:r>
        <w:t>Evaluating conventional expertise metrics for identifying developers of preprocessor-based variable code in configurable software systems via large-scale repository mining</w:t>
      </w:r>
    </w:p>
    <w:p>
      <w:r>
        <w:t xml:space="preserve"> </w:t>
      </w:r>
    </w:p>
    <w:p>
      <w:pPr>
        <w:pStyle w:val="Heading2"/>
      </w:pPr>
      <w:r>
        <w:t>Short Hypothesis</w:t>
      </w:r>
    </w:p>
    <w:p>
      <w:r>
        <w:t>Conventional expertise metrics (total commits, tenure, and file ownership) under-identify developers who perform most preprocessor-based variable-code work, reducing those metrics' ability to predict variable-code bug rates and time-to-fix compared to metrics that incorporate direct variable-code signals.</w:t>
      </w:r>
    </w:p>
    <w:p>
      <w:r>
        <w:t xml:space="preserve"> </w:t>
      </w:r>
    </w:p>
    <w:p>
      <w:pPr>
        <w:pStyle w:val="Heading2"/>
      </w:pPr>
      <w:r>
        <w:t>Related Work</w:t>
      </w:r>
    </w:p>
    <w:p>
      <w:r>
        <w:t>Prior work has measured developer expertise using simple activity summaries (commit counts, tenure, file ownership) and has mined repositories for defect prediction and code ownership signals. Other lines of research analyze configurable software systems and feature toggles, but typically focus on runtime toggles or single-project case studies. Automated detectors for configuration changes exist but often target declarative config files or require heavy static analysis and are not evaluated at scale for preprocessor directives (conditional compilation). Limitations in prior approaches: (1) expertise metrics are context-agnostic and may miss domain-specific skills needed for preprocessor-based variability; (2) studies of configurability often exclude preprocessor-driven variability or lack large, multi-repo samples; (3) detectors and labels for variability are either rule-only or small labeled sets, limiting generalization; (4) reproducibility and privacy-aware large-scale pipelines are under-specified, reducing repeatability. These weaknesses leave unresolved whether standard metrics capture the specialized work of variability maintenance and how to build reproducible, privacy-preserving measurement at scale.</w:t>
      </w:r>
    </w:p>
    <w:p>
      <w:r>
        <w:t xml:space="preserve"> </w:t>
      </w:r>
    </w:p>
    <w:p>
      <w:pPr>
        <w:pStyle w:val="Heading2"/>
      </w:pPr>
      <w:r>
        <w:t>Abstract</w:t>
      </w:r>
    </w:p>
    <w:p>
      <w:r>
        <w:t>Configurable software systems often implement variability with preprocessor directives (conditional compilation). This study assesses whether standard developer-expertise metrics—such as commit counts, tenure, and file ownership—identify the people who do most of the variable-code work and whether those metrics predict variable-code quality outcomes (config-bug incidence and time-to-fix). We combine large-scale repository mining of 25 configurable software projects with a reproducible pipeline that detects preprocessor-based configuration changes, extracts behavioral and textual signals, and builds contributor-level features. The main contribution is an empirical comparison between conventional expertise metrics and enriched metrics that explicitly measure variable-code activity (e.g., config-commit rate, review involvement on config changes, text-derived expertise). Expected outcomes are: (1) quantification of mismatch between conventional metrics and variable-code workload concentration, and (2) evaluation of predictive gains for quality outcomes when using variable-aware metrics. Results will inform measurement practices and help target expert identification in configurable systems.</w:t>
      </w:r>
    </w:p>
    <w:p>
      <w:r>
        <w:t xml:space="preserve"> </w:t>
      </w:r>
    </w:p>
    <w:p>
      <w:pPr>
        <w:pStyle w:val="Heading2"/>
      </w:pPr>
      <w:r>
        <w:t>Experiments</w:t>
      </w:r>
    </w:p>
    <w:p>
      <w:r>
        <w:t>Datasets: Select 25 open-source configurable software system (CSS) projects with preprocessor-based variability (languages: C, C++, and mixed-codebases) and at least 5 years history, &gt;1,000 commits, and active contributor pools; harvest full commit history, PRs, issues, and review threads. Produce a held-out test set of repositories (5 repos) for final validation. Labeling: 500-label seed for config-change detection; double-code minimum 200 items per stratum (strata: file-type, small/medium/large repo) with Cohen's kappa target ≥0.70. Feature extraction: compute conventional metrics (total_commits, tenure_days, file_ownership_fraction), variable-aware metrics (config_commit_rate = config_commits/days_in_period; proportion_of_config_changes; review_density_on_config_changes), and text-derived expertise embeddings (author-level average of commit/PR embeddings). Baselines: (A) conventional metrics classifier/ranker; (B) text-only expertise model; (C) config-signal-only model; (D) combined model (conventional + config + text). Prediction tasks: (1) identification of top-k variable-code contributors (k ∈ {5%,10%,20%} of contributors) evaluated by precision@k, recall@k, and F1; (2) prediction of per-contributor config-bug rate (count per period) evaluated by RMSE, MAE, and Poisson deviance; (3) time-to-fix for configuration bugs using Cox proportional hazards models evaluated by concordance (c-index) and integrated Brier score. Experimental setup: use 5-fold cross-validation with folds by repository (to avoid leakage) and a held-out repo test. Models: logistic regression and random forest for classification; mixed-effects generalized linear models (random intercept per repo) for rates; Cox models with cluster-robust SEs for survival. Hyperparameter seeds: RNG seed 42 for reproducibility. Ablations: remove variable-aware features, remove text embeddings, and remove review features to measure marginal contribution. Detector evaluation: report precision, recall, confusion matrix on a 200-item double-coded validation set. Sensitivity analyses: vary config-change detector threshold, vary top-k definitions, and test impact of differential privacy noise on aggregate metrics (epsilons {0.5,1.0,1.5,2.0}). All pipelines run with containerized tasks and record provenance (container digest, pipeline run id).</w:t>
      </w:r>
    </w:p>
    <w:p>
      <w:r>
        <w:t xml:space="preserve"> </w:t>
      </w:r>
    </w:p>
    <w:p>
      <w:pPr>
        <w:pStyle w:val="Heading2"/>
      </w:pPr>
      <w:r>
        <w:t>Risk Factors And Limitations</w:t>
      </w:r>
    </w:p>
    <w:p>
      <w:r>
        <w:t>Technical failure modes: low precision/recall of config-change detectors for preprocessor directives leading to noisy features; contributor identity disambiguation errors across repositories. Data biases: selected projects may not represent private or non-C/C++ ecosystems; smaller projects and rare configuration types produce sparse data and unstable estimates. Causal limits: observational design restricts causal claims; confounding by unobserved project practices may bias associations. Evaluation limits: survival and mixed models assume proportional hazards and correct random-effects structure; violations affect inference. Privacy and utility trade-offs: differential privacy or k-anonymity applied to rare strata may add noise that degrades metric utility. Scalability: AST-level or heavy static analysis across many repos may be computationally expensive. Generalization: results may not extend to runtime-toggle systems or languages without preprocessor directives. Labeling constraints: manual labeling budgets may limit coverage of rare cases and reduce detector calibration for low-prevalence events.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