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cgoanalyzer_study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Empirical static-and-dynamic analysis of cgo usage and runtime risks in open-source Go projects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combined static-and-dynamic analysis pipeline (cgoanalyzer) will detect and reproduce predefined cgo issue types with per-class precision &gt;= 0.85 and recall &gt;= 0.80 on a held-out gold set, and will estimate cgo prevalence in public Go repositories within ±0.02 of the true population value.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empirical work reported a roughly 11.3% cgo prevalence in Go projects using heuristic detectors and manual confirmation. Existing detection approaches mostly rely on surface cues (keyword search for import "C", comments like // #cgo, or file name patterns) and therefore suffer from false positives when cgo mentions are incidental or when code is vendored. Static-only analyses that use AST (abstract syntax tree) patterns improve precision but often miss semantic conditions (build tags, CGO_ENABLED, or conditional compilation) that cause false negatives. Dynamic approaches (fuzzing, sanitizer-enabled runs) can find runtime memory-safety bugs but are rarely integrated with corpus-scale detection, so they lack targeted seeding and coverage measurement. Toolchain patch proposals exist but lack broad empirical validation across diverse repos, platforms, and reproducible benchmarks. In summary, limits are: (1) incomplete detector rules tied to concrete AST+semantic predicates, (2) weak reproducibility and provenance, (3) poor cross-platform coverage, and (4) few studies combining static detection with systematic dynamic reproduction and patch validation.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and why Go projects use cgo — Go's foreign-function interface to C — and measure the concrete risks that arise at scale. We build and apply cgoanalyzer, an integrated static-and-dynamic pipeline that (1) identifies cgo usage with AST-confirmed rules and semantic checks, (2) classifies occurrences into a predefined taxonomy of issue types, and (3) reproduces runtime failures in pinned, sandboxed environments with sanitizer and fuzzing support. Main contributions are: a validated detector suite mapping each issue type to exact AST or semantic predicates and canonical testcases; a reproducible corpus and provenance manifests; per-issue detection performance on a held-out gold set; and an empirical evaluation of prototype toolchain patches and mitigation guidance. Expected outcomes are accurate prevalence estimates, a traceable matrix of issue detections, reproducible crash reproducers, and prioritized, evidence-based mitigation suggestions for developers and the Go toolchain maintainers.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corpus of 200 public Go repositories; full corpus target of 5,000–10,000 public Go repositories sampled at snapshot time. Hold out a gold validation set of 100–200 repositories (not used in calibration). Build a labeled pool of ≈1,000 positive instances stratified by 19 issue classes (common≥100, moderate 50–100, rare 30–50 each). Sampling: stratified by domain, repo size (LOC bins), age, and CI usage; use n0 = (Z^2 p(1−p))/d^2 with Z=1.96, p=0.5, target margin d=0.02 and finite-pop correction per stratum; RNG seed=42 for reproducibility. Baselines: (A) keyword baseline (import "C" or // #cgo), (B) prior-study heuristic detector, (C) static AST-only detector without semantic checks. Detector under test: cgoanalyzer = AST patterns + semantic predicates (build tags, CGO_ENABLED, vendoring detection) + optional dynamic confirmation. Metrics: precision, recall, F1 per issue class (explain: F1 is harmonic mean of precision and recall), Cohen's kappa for labeling agreement, prevalence estimate with 95% frequentist CI and CI width target ≤0.02, runtime crash reproduction success rate, and performance regression median with 95% CI. Experimental setup: containerized, pinned toolchains and C compilers; static runs across corpus to produce detections; calibration on pilot with iterative labeling (double-code 10–20% per stratum); evaluate detectors on held-out gold set; dynamic phase for detected critical sites: sandboxed build+run with CGO_ENABLED toggles, sanitizer-enabled runs (ASan/UBSan), and directed fuzzing budgets (≥1M executions or 24h per target). Ablations and comparisons: (1) static-only vs static+semantic checks vs static+dynamic confirmation, (2) effect of vendor exclusion vs inclusion on prevalence and FP rate, (3) detector performance vs keyword and prior-study baselines, (4) patch evaluation: compare baseline runtime behavior, temporary roll-backable patch, and permanent fix across regression matrix (Go minor versions × OS: linux/macOS/windows × arch: x86_64/arm64). Report per-class metrics and statistical tests with Benjamini–Hochberg FDR control at 0.05 for secondary analyses.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false positives when comments or vendored code mention cgo without active use; false negatives when conditional compilation or build-system peculiarities hide cgo uses. Reproducibility limits: some crashes depend on platform, libc, kernel, or third-party native libraries not captured in containers. Coverage measurement limits: measuring 90% of cgo 'shim' branches (the small C-to-Go boundary code) may be infeasible when builds or inputs are proprietary or when execution paths require large external inputs. Data biases: GitHub language-detection may mislabel primary language, and public repositories do not represent private or enterprise code. Scalability and compute: dynamic reproduction and fuzzing at scale require large CPU hours and storage; budgets may force downsampling or fewer fuzz trials. Legal and ethical constraints: fuzzing and disclosure require maintainer consent and IRB approval for surveys/interviews; hosting failing reproducers may be restricted by licenses. Generalization limits: results apply to public Go projects at snapshot time and may not generalize to future toolchain changes or private codebases.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