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refa_devops_iec62443_study</w:t>
      </w:r>
    </w:p>
    <w:p>
      <w:r>
        <w:t xml:space="preserve"> </w:t>
      </w:r>
    </w:p>
    <w:p>
      <w:pPr>
        <w:pStyle w:val="Heading2"/>
      </w:pPr>
      <w:r>
        <w:t>Title</w:t>
      </w:r>
    </w:p>
    <w:p>
      <w:r>
        <w:t>A longitudinal stepped-wedge evaluation of a prescriptive IEC 62443-4-1 aligned DevOps lifecycle (REFA) to improve continuous security compliance in product teams</w:t>
      </w:r>
    </w:p>
    <w:p>
      <w:r>
        <w:t xml:space="preserve"> </w:t>
      </w:r>
    </w:p>
    <w:p>
      <w:pPr>
        <w:pStyle w:val="Heading2"/>
      </w:pPr>
      <w:r>
        <w:t>Short Hypothesis</w:t>
      </w:r>
    </w:p>
    <w:p>
      <w:r>
        <w:t>Introducing the REFA prescriptive lifecycle adapted to IEC 62443-4-1 increases teams' Compliance Alignment Index (CAI) by at least 5 points over six months compared to standard DevOps, controlling for baseline CAI, team size, product criticality, and calendar time.</w:t>
      </w:r>
    </w:p>
    <w:p>
      <w:r>
        <w:t xml:space="preserve"> </w:t>
      </w:r>
    </w:p>
    <w:p>
      <w:pPr>
        <w:pStyle w:val="Heading2"/>
      </w:pPr>
      <w:r>
        <w:t>Related Work</w:t>
      </w:r>
    </w:p>
    <w:p>
      <w:r>
        <w:t>Prior work integrates security into DevOps (DevSecOps) by adding security scans, using cloud-native security platforms (CNAPPs), and applying ML to detect threats. Existing approaches focus on tooling or narrow automation (scans, alerts) rather than a prescriptive lifecycle tied to a specific regulatory standard. Measurement work provides ad hoc metrics (scan counts, mean time to remediate) but lacks a validated, multi-domain index aligned to standards and resistant to telemetry noise or adversarial manipulation. Mixed-methods studies examine human factors but rarely combine a reproducible telemetry labeling corpus, adversarial testing, and a pre-registered causal rollout design. Limitations of current methods: weak links between operational practices and formal standards, poor construct validity of composite compliance scores, insufficient adversarial threat modeling, and limited longitudinal causal evidence on whether interventions change behaviors without harming delivery velocity.</w:t>
      </w:r>
    </w:p>
    <w:p>
      <w:r>
        <w:t xml:space="preserve"> </w:t>
      </w:r>
    </w:p>
    <w:p>
      <w:pPr>
        <w:pStyle w:val="Heading2"/>
      </w:pPr>
      <w:r>
        <w:t>Abstract</w:t>
      </w:r>
    </w:p>
    <w:p>
      <w:r>
        <w:t>Critical-infrastructure and high-assurance product teams need DevOps practices that meet formal security regulations. This study evaluates REFA, a prescriptive DevOps lifecycle adapted to IEC 62443-4-1, using a stepped-wedge longitudinal design across 120 product teams. We operationalize a Compliance Alignment Index (CAI) that aggregates seven domains (governance, IAM, configuration as code, secure SDLC, secrets, monitoring/IR, third-party) into a 0–100 score, with prespecified weighting and sensitivity tests. The study pairs validated telemetry (CI/CD gates, SAST/DAST/SCA alerts, incident tickets) and a labeled incident corpus (~1,000 events) with qualitative ethnography on 10–15 teams to explain mechanisms. We preregister the primary estimand, adjustment set, and a linear mixed-effects model with team random intercepts and calendar-time fixed effects. We also run adversarial simulations (data poisoning, replay, insider tampering) and report detection operating characteristics. The main contribution is a reproducible, regulation-aligned lifecycle plus open analysis artifacts that quantify whether and how REFA produces sustained increases in continuous security compliance without degrading DevOps velocity.</w:t>
      </w:r>
    </w:p>
    <w:p>
      <w:r>
        <w:t xml:space="preserve"> </w:t>
      </w:r>
    </w:p>
    <w:p>
      <w:pPr>
        <w:pStyle w:val="Heading2"/>
      </w:pPr>
      <w:r>
        <w:t>Experiments</w:t>
      </w:r>
    </w:p>
    <w:p>
      <w:r>
        <w:t>Datasets: (1) Longitudinal telemetry from 120 product teams, monthly team-month records for 12 months; each team stratified by product criticality (High=40, Medium=40, Low=40). Telemetry streams: CI/CD policy/gate events, SAST/DAST/SCA alerts, Incident Response (IR) ticket data; raw component values persisted. (2) Labeled incident corpus target = 1,000–1,200 adjudicated incidents stratified by domain. (3) Qualitative transcripts and artifacts from 10–15 purposively sampled teams with time-stamped observations. Baselines: (A) standard DevOps (no REFA), (B) DevSecOps tooling-only (scans/CNAPPs), (C) stakeholder-weighted CAI vs alternative weightings (equal, EFA/CFA-derived). Intervention arms: stepped-wedge rollout of REFA; pilot A/B trials with ~30 clusters/arm for specific incentives. Preprocessing: winsorize numeric signals at 99th percentile, normalize component scores to 0–100, preserve raw values. Primary outcome: CAI (0–100). Secondary outcomes: adoption rate (% teams applying REFA practices), DevOps Velocity Index (DVI), Adoption Burden Index (ABI), incident rate per team-month, telemetry PPV/recall for high-severity signals. Primary model: linear mixed-effects model on team-month unit: CAI_it = β0 + β1*Intervention_it + β2*baseline_CAI_i + β3*team_size_i + β4*product_criticality_i + γ_month + u_i + ε_it, where u_i ~ N(0,σ_u^2) is team random intercept; estimation by REML with Kenward-Roger df. Hypothesis test: H0: β1 = 0; report β1, 95% CI, p-value (Holm-adjusted for primary family). Sensitivity analyses: (a) random slopes for time (intercept+slope) vs intercept-only; (b) CAI weighting ablation: stakeholder vs equal vs CFA; (c) MNAR checks via pattern-mixture delta-adjustment ranges (±0.2–0.8 SD); (d) adversarial ablation: simulate data poisoning (≤5% events), label flipping (1–5%), replay bursts and rerun models to quantify β1 bias. Telemetry validation: compute precision, recall, ROC for mapping signals to adjudicated incidents; require PPV ≥0.8 target for high-risk signals. Comparison/ablation studies: (1) REFA vs tooling-only baseline; (2) REFA with vs without embedded microlearning/incentives; (3) CAI weight schemes impact on detected effect; (4) adversarial mitigation on CAI robustness. Power and MDE: use seeded simulation notebooks over ICC ∈ {0.01,0.05,0.10,0.20} and attrition 5/10/20% to produce detectable CAI point ranges. Unit of inference: team-month with mixed-effects clustering by team. Pre-registration: estimand, adjustment set, randomization seed, model formula, and analysis code.</w:t>
      </w:r>
    </w:p>
    <w:p>
      <w:r>
        <w:t xml:space="preserve"> </w:t>
      </w:r>
    </w:p>
    <w:p>
      <w:pPr>
        <w:pStyle w:val="Heading2"/>
      </w:pPr>
      <w:r>
        <w:t>Risk Factors And Limitations</w:t>
      </w:r>
    </w:p>
    <w:p>
      <w:r>
        <w:t>Technical failure modes: telemetry streams may be incomplete, inconsistent, or subject to ingestion delays causing biased CAI estimates; adversarial attacks (poisoning, log tampering) can distort signals beyond modeled budgets. Data and evaluation biases: labeled corpus may reflect annotation bias or domain skew, limiting generalization; teams volunteering for pilots may not represent average teams (selection bias). Statistical and model risks: misspecified random-effects structure or serial autocorrelation (AR(1)) can bias estimates; small cluster counts in A/B pilots reduce power for subgroup inferences. Measurement limits: CAI is an aggregated construct and may fail to capture unobserved compliance behaviors or produce false confidence if component weights are unstable. Human factors: interventions may change reporting behavior (gaming) or induce workload shifts that reduce DVI but mask compliance gains. Scalability and compute: maintaining labeled corpus, high-frequency telemetry, and adversarial simulations requires sustained storage and engineering resources; cost estimates may be underestimated. Legal/regulatory limits: cross-border data transfer restrictions or DPO objections could force data truncation, reducing longitudinal linkage. Generalization limits: results tied to IEC 62443-4-1 adapting REFA may not directly transfer to other standards or non-critical-infrastructure domains.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