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A preference-conditioned actor-critic framework for continuous multi-objective multi-agent reinforcement learning</w:t>
      </w:r>
    </w:p>
    <w:p>
      <w:r>
        <w:t xml:space="preserve"> </w:t>
      </w:r>
    </w:p>
    <w:p>
      <w:pPr>
        <w:pStyle w:val="Heading2"/>
      </w:pPr>
      <w:r>
        <w:t>Short Hypothesis</w:t>
      </w:r>
    </w:p>
    <w:p>
      <w:r>
        <w:t>Conditioning each agent's multi-headed actor and a centralized critic on a latent preference vector causes a single agent policy to learn a set of trade-off behaviors whose induced returns approximate the Pareto front and yield higher normalized hypervolume than independent per-objective policies under the same compute and sample budget.</w:t>
      </w:r>
    </w:p>
    <w:p>
      <w:r>
        <w:t xml:space="preserve"> </w:t>
      </w:r>
    </w:p>
    <w:p>
      <w:pPr>
        <w:pStyle w:val="Heading2"/>
      </w:pPr>
      <w:r>
        <w:t>Related Work</w:t>
      </w:r>
    </w:p>
    <w:p>
      <w:r>
        <w:t>Existing multi-objective reinforcement learning (MORL) approaches typically either train one policy per preference weight (weight-sweep) or use population-based methods to cover trade-offs; both approaches increase compute and storage costs. Scalarization-based policy-gradient methods (linear weights, Chebyshev, log-sum-exp) produce single-objective surrogates but can miss extreme Pareto points or create instability when preferences change. Hypervolume-based gradient methods directly optimize Pareto quality but scale poorly with the number of objectives (exponential cost) and have high gradient variance for M&gt;3. In multi-agent RL, centralized-training-with-decentralized-execution (CTDE) and centralized critics alleviate non-stationarity but are rarely combined with multi-objective conditioning inside a single policy. Prior actor-critic continuous-control methods (DDPG/TD3) focus on single-objective returns and do not natively represent a Pareto set inside one policy. Human-in-the-loop preference learning has been studied for single-agent settings but is underexplored for continuous multi-agent multi-objective domains. Overall limitations: poor scalability to many objectives, high compute for multiple policies, lack of single-policy Pareto encodings for continuous multi-agent settings, and limited treatment of opponent non-stationarity in MORL.</w:t>
      </w:r>
    </w:p>
    <w:p>
      <w:r>
        <w:t xml:space="preserve"> </w:t>
      </w:r>
    </w:p>
    <w:p>
      <w:pPr>
        <w:pStyle w:val="Heading2"/>
      </w:pPr>
      <w:r>
        <w:t>Abstract</w:t>
      </w:r>
    </w:p>
    <w:p>
      <w:r>
        <w:t>We address continuous-state, continuous-action multi-objective learning in multi-agent systems by introducing a preference-conditioned actor–critic framework that encodes multiple trade-offs inside a single policy per agent. The method conditions a centralized critic and a multi-headed actor on a latent preference vector so that each head corresponds to a different objective weighting; a single neural policy can thus represent many Pareto-optimal trade-offs. We instantiate the framework with TD3 and DDPG style updates and propose both exact hypervolume gradient use when feasible and Monte Carlo gradient estimators with control variates when objectives exceed three. Main contributions are: (1) a practical architecture combining centralized critics with preference conditioning and multi-headed actors for continuous multi-agent multi-objective RL, (2) scalable hypervolume-gradient fallbacks and communication/compression protocols for distributed critics, and (3) a reproducible continuous MOMARL test suite for benchmarking. Expected outcomes are improved Pareto coverage (higher normalized hypervolume) per compute budget and a single-policy representation that simplifies deployment and human preference conditioning. (Pareto front = set of policies that cannot be improved on one objective without worsening another.)</w:t>
      </w:r>
    </w:p>
    <w:p>
      <w:r>
        <w:t xml:space="preserve"> </w:t>
      </w:r>
    </w:p>
    <w:p>
      <w:pPr>
        <w:pStyle w:val="Heading2"/>
      </w:pPr>
      <w:r>
        <w:t>Experiments</w:t>
      </w:r>
    </w:p>
    <w:p>
      <w:r>
        <w:t>Datasets and environments: (1) Particle-World++ multi-agent tasks (simple physics continuous states/actions) with N ∈ {2,4,8} agents; (2) MuJoCo-based continuous control tasks adapted to multi-objective rewards (e.g., speed vs. energy vs. robustness) with M ∈ {2,3,5} objectives; (3) a proposed continuous MOMARL test suite combining controlled opponent drift schedules (abrupt, gradual, cyclical) and objective counts. Baselines: (A) per-preference weight-sweep: independent TD3/DDPG policies trained per linear weight; (B) multi-policy ensemble (population methods); (C) centralized-critic actor-critic without preference conditioning; (D) hypervolume-regularized actor-critic (where applicable). Proposed method variants: MOMA-AC-TD3, MOMA-AC-DDPG, plus ablations below. Evaluation metrics: normalized hypervolume (HV) with respect to a reference front (union of all methods and seeds), Pareto coverage (fraction of reference front within ε), sparsity/uniformity (distance variance between adjacent front points), average per-objective returns, time-to-threshold HV, communication bytes/update, W1 non-stationarity metric (explained: 1-Wasserstein distance estimates between opponent occupancies), human-query count for HCI experiments. Statistical protocol: pilot 10 seeds to estimate variance, then default 20 seeds per condition (≥30 if CV&gt;0.2); report mean + 95% bootstrap CI, Cliff’s delta effect sizes, paired Wilcoxon signed-rank tests with Holm-Bonferroni correction. Experimental setup: equal GPU-hour tuning budgets per method, identical actor/critic sizes and replay setups, checkpoint every 10k env steps; per-seed training steps: small tasks 200k steps, medium 1M steps. Ablations (each compared to full MOMA-AC): (i) scalarization family: linear vs Chebyshev vs log-sum-exp; (ii) critic factoring: centralized vs factored neighborhood k=1 vs k=⌊√N⌋; (iii) preference conditioning: deterministic weight input vs variational posterior qψ(z|D); (iv) hypervolume regularizer: on vs off; (v) HV estimator: exact (M≤3) vs MC K∈{32,128,512} with control variates; (vi) communication: 32-bit vs 8-bit quantized messages with sync T∈{1,10,100}. Reference front construction: union across all seeds/methods; stopping and HCI: record queries until marginal HV gain per query &lt; εHV or budget B=30. Reproducibility: full RNG seeds for env, policy, and CUDA, Docker images, Hydra configs. Unit tests: exact HV gradient tests (M≤3) and MC estimator consistency checks.</w:t>
      </w:r>
    </w:p>
    <w:p>
      <w:r>
        <w:t xml:space="preserve"> </w:t>
      </w:r>
    </w:p>
    <w:p>
      <w:pPr>
        <w:pStyle w:val="Heading2"/>
      </w:pPr>
      <w:r>
        <w:t>Risk Factors And Limitations</w:t>
      </w:r>
    </w:p>
    <w:p>
      <w:r>
        <w:t>Theoretical/assumption risks: convergence bounds rely on bounded critic approximation error and bounded opponent non-stationarity (W1); if critic error or drift are large, guarantees do not hold. Estimator risks: Sinkhorn regularization biases W1 estimates and MC hypervolume gradients can have high variance for M&gt;3, leading to noisy updates and slower learning. Non-stationarity: rapid opponent policy changes can destabilize actor updates and invalidate centralized-critic estimates. Human-in-the-loop risks: noisy or inconsistent human preferences may mislead preference posterior qψ and degrade Pareto coverage; annotation time/cost may be high and require ethics/IRB procedures for real users. Compute and scalability: training with many preferences, seeds, and agents demands large GPU resources (benchmarks estimate thousands of GPU-hours), limiting reproducibility for small labs. Communication/compression: aggressive 8-bit quantization or sparse neighborhood factorization may harm credit assignment and final performance. Generalization limits: methods tuned on M≤3 may not scale cleanly to M≫3 objectives; MC approximations may not fully recover exact hypervolume behavior. Reproducibility pitfalls: CUDA nondeterminism, incomplete RNG control, and missing hardware/software manifests can undermine result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