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frequency_filter_metadescriptor</w:t>
      </w:r>
    </w:p>
    <w:p>
      <w:r>
        <w:t xml:space="preserve"> </w:t>
      </w:r>
    </w:p>
    <w:p>
      <w:pPr>
        <w:pStyle w:val="Heading2"/>
      </w:pPr>
      <w:r>
        <w:t>Title</w:t>
      </w:r>
    </w:p>
    <w:p>
      <w:r>
        <w:t>Variance-filtered frequency metadescriptors for concept identification in nonstationary data streams</w:t>
      </w:r>
    </w:p>
    <w:p>
      <w:r>
        <w:t xml:space="preserve"> </w:t>
      </w:r>
    </w:p>
    <w:p>
      <w:pPr>
        <w:pStyle w:val="Heading2"/>
      </w:pPr>
      <w:r>
        <w:t>Short Hypothesis</w:t>
      </w:r>
    </w:p>
    <w:p>
      <w:r>
        <w:t>Applying variance-filtered frequency metadescriptors to batches of sample feature vectors and clustering those metadescriptions increases concept separation performance, producing an adjusted Rand index (ARI) at least 0.10 higher than clustering on raw features for synthetic nonstationary streams under matched SNR/time-scale conditions.</w:t>
      </w:r>
    </w:p>
    <w:p>
      <w:r>
        <w:t xml:space="preserve"> </w:t>
      </w:r>
    </w:p>
    <w:p>
      <w:pPr>
        <w:pStyle w:val="Heading2"/>
      </w:pPr>
      <w:r>
        <w:t>Related Work</w:t>
      </w:r>
    </w:p>
    <w:p>
      <w:r>
        <w:t>Existing methods characterize nonstationary signals in the time-frequency (TF) or frequency domain using short-time Fourier transforms (STFT), multitaper spectrograms, Cohen-class kernels, wavelet scalograms, and scattering transforms. Metalearning and concept-drift literature uses summary statistics and learned descriptors to detect and adapt to changing concepts. Robust statistics and bootstrap methods have been applied to heavy-tailed noise, while variational inversion and regularization (Wiener, TV) are used to stabilize deconvolution in ill-conditioned problems. Limitations: (1) many TF estimators produce high-dimensional outputs and require aggressive smoothing that blurs transient, concept-specific features; (2) cross-terms and kernel bias in quadratic TF methods reduce interpretability and identifiability; (3) heavy-tailed noise breaks moment-based uncertainty quantification; (4) existing descriptors lack a simple, low-dimensional metadescriptor that preserves semantic meaning across batches and supports identifiability diagnostics and calibrated uncertainty; (5) computational and streaming constraints are often not addressed jointly with statistical guarantees.</w:t>
      </w:r>
    </w:p>
    <w:p>
      <w:r>
        <w:t xml:space="preserve"> </w:t>
      </w:r>
    </w:p>
    <w:p>
      <w:pPr>
        <w:pStyle w:val="Heading2"/>
      </w:pPr>
      <w:r>
        <w:t>Abstract</w:t>
      </w:r>
    </w:p>
    <w:p>
      <w:r>
        <w:t>We propose a method to describe nonstationary data streams in the frequency domain by computing frequency-filtering metadescriptors: frequency-domain components of sample feature vectors are extracted, ranked by their variance across data batches, and retained to form low-dimensional metadescriptions. A metadescriptor is a compact summary that highlights frequency components that change with data distributions (concepts). The approach filters out components with low cross-batch variance, groups data chunks by clustering on metadescriptions, and maps cluster prototypes back to the original spatial domain for visualization. Main contributions are (1) a simple variance-filtering pipeline that reduces dimensionality while preserving concept-specific spectral content; (2) a κ_op diagnostic (discretized operator condition number) to flag nonidentifiable regions; and (3) a hybrid uncertainty quantification workflow combining robust bootstrap and a Student-t posterior with isotonic recalibration. Expected outcomes include improved cluster separability of concepts in nonstationary streams, calibrated uncertainty estimates under heavy-tailed noise, and practical diagnostics for identifiability and streaming deployment.</w:t>
      </w:r>
    </w:p>
    <w:p>
      <w:r>
        <w:t xml:space="preserve"> </w:t>
      </w:r>
    </w:p>
    <w:p>
      <w:pPr>
        <w:pStyle w:val="Heading2"/>
      </w:pPr>
      <w:r>
        <w:t>Experiments</w:t>
      </w:r>
    </w:p>
    <w:p>
      <w:r>
        <w:t>Datasets: seeded synthetic generators with fixed seeds for reproducibility: (A) smooth chirp spectrum (time-varying center frequency), (B) two crossing AM‑FM components with overlap and colored interference, (C) abrupt spectral change with transients and bursts; real excerpts: LibriSpeech speech snippet, Electrosense SDR RF capture, CHB‑MIT EEG seizure excerpt. Noise families: Gaussian, Student‑t (ν=3), α‑stable (α=1.6), heteroskedastic AR(1). SNRs: -10, 0, 10, 20 dB. Time-scale ratios τ_change/T_win ∈ {10,3,0.5}. Repetitions: 50 independent seeds per experimental cell. Baselines: (1) clustering on raw time-domain features, (2) STFT magnitude features + clustering, (3) multitaper spectrogram features + clustering, (4) wavelet scalogram features + clustering, (5) scattering transform descriptors. Proposed variants and ablations: (i) full pipeline with variance-filtered frequencies; (ii) no variance filtering (all frequencies); (iii) variance threshold ablation (retain top k frequencies with k∈{5,10,20}); (iv) different kernels Φ (Gaussian, multitaper); (v) UQ ablation: bootstrap only vs Student‑t posterior only vs fused. Evaluation metrics: clustering adjusted Rand index (ARI) (primary), spectral normalized MSE in log-power (NMSE_log), spectral IoU for component supports, separation SNR improvement (dB), κ_op condition number (report σ_max/σ_min), UQ calibration (empirical coverage at 50/90/95%, calibration error, interval width), latency (median and 95th percentile per-frame), peak memory. Experimental setup: containerized runs with fixed RNG seeds, environment hash, and dataset manifest; run grid across scenarios × noise × SNR × time-scale with 50 seeds; aggregate metrics by median and 95% quantile; statistical tests: Wilcoxon signed-rank for pairwise method comparisons and report p-values with Benjamini–Hochberg FDR correction. Deliverables: reproducible notebooks, raw metric tables, reliability diagrams, κ_op conditioned calibration heatmaps, and microbenchmark latency/memory reports on CPU and GPU.</w:t>
      </w:r>
    </w:p>
    <w:p>
      <w:r>
        <w:t xml:space="preserve"> </w:t>
      </w:r>
    </w:p>
    <w:p>
      <w:pPr>
        <w:pStyle w:val="Heading2"/>
      </w:pPr>
      <w:r>
        <w:t>Risk Factors And Limitations</w:t>
      </w:r>
    </w:p>
    <w:p>
      <w:r>
        <w:t>Nonidentifiability: when the frequency-domain kernel Φ has near-zero support on relevant components, the method cannot recover or separate concepts (κ_op high). Heavy-tailed extremes: α‑stable regimes with very small α (&lt;1) invalidate moment-based estimators and can break variance ranking; finite-sample concentration may be weak. Threshold sensitivity: variance-filter threshold or retained k selection can remove weak but semantically important components or retain noisy components, harming clustering. Computational limits: large ambiguity grids (large L) increase memory and latency, making real-time streaming challenging on limited hardware. Calibration failure: fused UQ (bootstrap + Student‑t posterior) may miscalibrate when κ_op indicates poor identifiability or when mismatch modes (missing samples, sampling jitter) are severe. Dataset bias: synthetic generators may not capture all real-world nonstationarities; results may not generalize to modalities with strong nonstationary spatial structure. Algorithmic fallback regions: regions where Φ≈0 require prior-driven reconstruction and do not admit reliable interpretation. Generalization limits: method assumes meaningful frequency-domain structure in feature vectors and may fail for signals dominated by non-spectral patterns (e.g., pure time-domain impulses).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