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simulation_experiment_ssl_da</w:t>
      </w:r>
    </w:p>
    <w:p>
      <w:r>
        <w:t xml:space="preserve"> </w:t>
      </w:r>
    </w:p>
    <w:p>
      <w:pPr>
        <w:pStyle w:val="Heading2"/>
      </w:pPr>
      <w:r>
        <w:t>Title</w:t>
      </w:r>
    </w:p>
    <w:p>
      <w:r>
        <w:t>Self-supervised domain adaptation using synthetic coda-wave simulations for concrete damage classification</w:t>
      </w:r>
    </w:p>
    <w:p>
      <w:r>
        <w:t xml:space="preserve"> </w:t>
      </w:r>
    </w:p>
    <w:p>
      <w:pPr>
        <w:pStyle w:val="Heading2"/>
      </w:pPr>
      <w:r>
        <w:t>Short Hypothesis</w:t>
      </w:r>
    </w:p>
    <w:p>
      <w:r>
        <w:t>Pretraining on large-scale labeled synthetic coda-wave data and applying a self-supervised domain adaptation pipeline (domain adversarial training, minimum class confusion loss, and BYOL) to unlabeled experimental measurements will increase segmentation IoU on real experimental concrete damage data by at least 10 percentage points compared to a model trained only on synthetic data.</w:t>
      </w:r>
    </w:p>
    <w:p>
      <w:r>
        <w:t xml:space="preserve"> </w:t>
      </w:r>
    </w:p>
    <w:p>
      <w:pPr>
        <w:pStyle w:val="Heading2"/>
      </w:pPr>
      <w:r>
        <w:t>Related Work</w:t>
      </w:r>
    </w:p>
    <w:p>
      <w:r>
        <w:t>Prior work uses (1) simulation-driven data augmentation to expand labeled training sets, (2) domain adaptation methods such as domain-adversarial training and distribution alignment (e.g., MMD/CORAL) to close sim-to-real gaps, and (3) self-supervised representation learning methods (e.g., contrastive learning, BYOL) to extract transferable features from unlabeled real data. Limitations: simulation-only training often fails on real sensors because simulated signals differ in noise, physics detail, or imaging artifacts; standard domain adaptation can reduce distribution shift but may collapse class boundaries or require labeled target samples; many self-supervised methods learn generic features but lack physics-aware tasks tied to crack geometry; surrogate simulators are rarely certified with reproducible tests, so augmentations can inject unrealistic modes; multimodal fusion (RGB/thermal/depth/acoustic) and calibrated uncertainty quantification are commonly underdeveloped. These gaps prevent reliable damage classification under field variability and limit operational trust.</w:t>
      </w:r>
    </w:p>
    <w:p>
      <w:r>
        <w:t xml:space="preserve"> </w:t>
      </w:r>
    </w:p>
    <w:p>
      <w:pPr>
        <w:pStyle w:val="Heading2"/>
      </w:pPr>
      <w:r>
        <w:t>Abstract</w:t>
      </w:r>
    </w:p>
    <w:p>
      <w:r>
        <w:t>We address the problem of transferring damage classifiers from physics-based simulations to real experimental measurements for concrete structures. We propose a self-supervised domain adaptation framework that leverages a virtual testing platform to produce large labeled synthetic coda-wave and multimodal sensor data and then adapts models to unlabeled experimental anchors using domain adversarial training, minimum class confusion loss, and BYOL-style representation learning. The main contribution is a reproducible pipeline that combines certified surrogate-generated augmentations, physics-aware pretext tasks (crack skeleton and width prediction), and calibrated uncertainty estimates to reduce sim-to-real gap. Expected outcomes are improved segmentation and classification accuracy on real concrete damage data, measurable reduction in embedding distribution distance between domains, and validated surrogate certification tests that prevent unrealistic synthetic artifacts. The approach targets reliable field-ready damage detection while minimizing the need for expensive experimental labels.</w:t>
      </w:r>
    </w:p>
    <w:p>
      <w:r>
        <w:t xml:space="preserve"> </w:t>
      </w:r>
    </w:p>
    <w:p>
      <w:pPr>
        <w:pStyle w:val="Heading2"/>
      </w:pPr>
      <w:r>
        <w:t>Experiments</w:t>
      </w:r>
    </w:p>
    <w:p>
      <w:r>
        <w:t>Datasets: Pilot dataset: 200 labeled synthetic renders (multi-fidelity tiers A/B/C) + 50 paired experimental anchors with full annotations. Scale dataset: ~100k synthetic renders and ~1.5k labeled experimental images across six damage modes with ~80 specimens/mode and 3 repeats each. Store datasets with DVC and fixed random seeds [42,1337,2024,7,99]. Baselines: (A) synthetic-only supervised training, (B) supervised fine-tune on limited real labels, (C) domain-adversarial (DANN) only, (D) self-supervised BYOL only on real unlabeled, (E) synthetic + style-transfer augmentations without DA/SSL. Proposed method: combined SSL + DA (domain adversarial + minimum class confusion + BYOL) with surrogate-augmented synthetic data. Metrics: segmentation IoU (primary), per-class F1, overall accuracy, Fréchet Feature Distance (FFD) between domain embeddings, Expected Calibration Error (ECE), conformal prediction coverage (90/95%), Hausdorff centerline distance (mm), fracture-energy relative error (%), topology connected-component recall (%). Model and training: ResNet-50 backbone, mixed-batch synthetic:real 1:1, batch size 256, MoCo-style queue ≈65k, pretrain 100 epochs (pilot) / 200 epochs (scale), optimizer AdamW, backbone lr 1e-4, head lr 1e-3. UQ: deep ensembles N=5 for epistemic uncertainty plus conformal calibration on anchors. Surrogate certification tests: run held-out HF benchmark (50 cases) computing Hausdorff ≤5% or ≤0.5 mm, fracture-energy REL_ERR ≤10%, topology recall ≥95%; record pass/fail. Ablation studies: (1) remove domain adversarial head, (2) remove MCC loss, (3) remove BYOL pretext, (4) remove surrogate-augmented high-fidelity renders (reduce Tier-A by 50%), (5) vary synthetic:real batch mix {2:1,1:2}. Statistical analysis: report bootstrap 95% CIs for primary metrics, use permutation tests for paired model comparisons, and correct for multiple comparisons with Benjamini-Hochberg FDR control. Reproducibility: publish configs, Docker image, and a minimal runnable unit dataset that reproduces a pilot experiment in &lt;1 GPU-hour with expected metrics and seed-fixed logs.</w:t>
      </w:r>
    </w:p>
    <w:p>
      <w:r>
        <w:t xml:space="preserve"> </w:t>
      </w:r>
    </w:p>
    <w:p>
      <w:pPr>
        <w:pStyle w:val="Heading2"/>
      </w:pPr>
      <w:r>
        <w:t>Risk Factors And Limitations</w:t>
      </w:r>
    </w:p>
    <w:p>
      <w:r>
        <w:t>Technical failure modes: surrogate models may produce unrealistic crack morphologies causing negative transfer; domain adversarial losses may collapse class separability reducing per-class accuracy. Data/evaluation biases: experimental anchors may not cover full field variability (illumination, aging, microstructure), leading to optimistic estimates of transfer. Scalability/compute limits: large-scale synthetic generation and SSL pretraining require thousands of GPU-hours; constrained budgets may force lower-fidelity renders that degrade transfer. Annotation limitations: annotator disagreement and systematic label bias (under-segmentation of thin cracks) can bias evaluation. UQ and OOD limits: ensemble and conformal methods may mis-calibrate under strong distributional shifts. Generalization bounds: results may not transfer to different sensor suites or to structures with material properties outside the simulated parameter ranges. Operational thresholds: chosen numeric gates (e.g., IoU increases, FFD reduction, ECE) may not align with all field decision costs and may require context-specific adjustment.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