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locomamba_mamba_fusion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Vision-driven quadrupedal locomotion via end-to-end reinforcement learning with MAMBA selective state-space fusion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Using a stacked MAMBA selective state-space fusion backbone to combine proprioceptive embeddings and patchified depth tokens and training the policy end-to-end with PPO will reduce fall-rate to ≤10% on held-out nominal terrains within 5M environment steps, while an otherwise-equivalent non-MAMBA baseline will exceed 10% fall-rate under the same training budget.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on vision-driven quadrupedal locomotion uses deep reinforcement learning and various sequence models to fuse perception and proprioception: common choices include recurrent neural networks (RNNs), transformers (self-attention over tokens), and RSSM-style world models for short-horizon imagination. World-model approaches provide sample efficiency but risk model bias; transformers give flexible attention but scale quadratically in time steps and tokens; RNNs are cheap but have limited long-horizon memory. Existing cross-modal fusion methods either concatenate modalities early (sensitive to appearance) or apply late fusion (losing tight action-perception coupling). Depth-based encoders have been used but often suffer from appearance sensitivity and high token costs. Replay and prioritized-sampling strategies help learning rare events but do not address long-horizon foresight. Overall limitations: poor scaling to long observation sequences, high memory/compute for transformers, sensitivity to image resolution and appearance changes, and insufficiently quantified sim-to-real calibration.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the problem of learning robust, foresightful vision-driven control for quadrupedal robots under realistic sensing and terrain variation. We propose an end-to-end reinforcement learning framework that fuses proprioceptive states (internal robot sensors) and depth images via a selective state-space model called MAMBA. Proprioception is embedded with a compact multilayer perceptron and depth images are converted to spatial tokens by a small CNN; stacked MAMBA layers selectively scan and fuse these tokens to produce features for a PPO policy. MAMBA’s selective state-space scanning yields near-linear time and memory scaling, enabling long-horizon modeling and robustness to token length and image resolution. The main contribution is the integration of selective state-space fusion as a cross-modal backbone for closed-loop locomotion trained end-to-end, combined with a compact state-centric reward. Expected outcomes are improved long-horizon stability, lower fall-rates under domain shifts, and reduced sensitivity to image appearance compared to non-selective fusion baselines.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Synthetic simulated dataset ≈2,000 simulated hours with procedurally generated terrains and domain randomization (friction 0.6–1.4, latency 20–150 ms, sensor dropout bursts up to 10%); real tethered data target 300–1,000 hours for later transfer tests. Baselines: (A) PPO policy with identical encoders but without MAMBA (e.g., MLP trunk or RNN trunk); (B) PPO + MAMBA with frozen pretrained encoder; (C) proprioception-only PPO (no depth); (D) PPO + transformer cross-attention trunk. Metrics: fall-rate (fraction of episodes ending in fall), mean episode length, energy J/m (positive mechanical power integrated and normalized by forward distance), cumulative reward, survival curves (Kaplan–Meier), perception calibration (expected calibration error, ECE), inference latency (median and 99th percentile), and bootstrap 95% confidence intervals. Training &amp; compute: smoke test 0.5M env steps, 16 parallel envs, 1 A100 GPU, single seed; full baseline 5M env steps per seed, 5 seeds for ablation-level claims, 10 seeds for final claims. Statistical tests: bootstrap CIs, Mann–Whitney U for pairwise comparisons, log-rank test for survival curves, Benjamini–Hochberg correction. Ablations: (1) Encoder: frozen-pretrained vs joint-trained vs self-supervised pretrain (0.5–1M steps per config); (2) Memory/fusion: no memory vs RNN vs transformer vs MAMBA (1–2M steps); (3) Imagined rollouts: no-world-model vs RSSM world-model with ensemble gating; evaluate model-bias by varying imagined-data mixing (90/10 → 70/30) and gating thresholds (ensemble std sweep). Evaluation setup: held-out held terrains for transfer tests, tethered hardware validation following sim-to-hardware CI gates, and reporting of mean ±95% bootstrap CI and per-seed logs for reproducibility.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Model bias from imagined rollouts: learned world models can produce incorrect predictions that mislead policy updates. Perception failures: depth sensor dropout, occlusion, or appearance shifts can degrade fused features. Compute and scaling limits: although MAMBA claims near-linear scaling, real hardware and training budgets may limit sequence length and model size. Safety hazards: real-robot deployment risks falls, E-stops, and hardware damage if sim-to-real mismatch is large. Data biases: simulated terrains and synthetic lighting may not cover real-world edge cases, limiting generalization. Measurement issues: energy J/m can differ if torque is commanded vs measured applied torque and actuator/electrical losses are not consistently accounted. Logging overhead: high-frequency JSON telemetry may create storage and throughput bottlenecks. Statistical power: planned sample sizes assume variance estimates that may be optimistic, causing underpowered comparisons if variance is larger in practice.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