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hypergraph_ssm_node_classification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networks with state-space models and transformer fusion for node classification on temporal hypergraphs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role-aware hypergraph embeddings and adjacency-derived embeddings via a shared structured linear-kernel state-space model (SSM) and a learnable transformer-like fusion will improve node classification accuracy and reduce the number of labeled training examples required, compared to (a) adjacency-only GNNs, (b) per-node temporal MLPs, and (c) temporal GNN baselines, on temporal hypergraph tasks.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hypergraph neural networks that aggregate messages across hyperedges (which capture higher-order relationships), temporal GNNs that model node time series or event sequences, and state-space models (SSMs) that compress long time series into compact representations. Prior hypergraph methods often assume static features or simple aggregations and can suffer from over-smoothing (node embeddings becoming too similar). Temporal GNNs and per-node MLPs can capture local temporal patterns but are inefficient for long-range dependencies and fail to compress long histories compactly. Standard attention or dense aggregation methods face scalability issues on large hyperedges (high memory and compute). Role-aware representation learning methods assign structural roles to nodes but typically do not integrate long temporal summaries. Uncertainty estimation and reproducible large-kernel temporal encoders are also under-explored in hypergraph settings.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temporal hypergraphs, where nodes and hyperedges have time series and higher-order relations. We propose an architecture that builds role-aware hypergraphs, encodes per-entity temporal histories with a shared structured linear-kernel state-space model (SSM) to capture long-range patterns, and fuses role-based and adjacency-based embeddings using a learnable transformer-like module. The model applies hypergraph convolution layers to model higher-order interactions and uses residual connections to reduce over-smoothing. Main contributions are: (1) combining role-aware hypergraph construction with pooled SSM embeddings for compact temporal summaries (SSM = a model that efficiently summarizes long time series); (2) a learnable fusion mechanism that adaptively merges role and adjacency signals; and (3) practical design choices for gating, sparse fused aggregation, and stability constraints. We expect improved classification accuracy, better calibration, and lower labeled-sample requirements on tasks requiring long temporal context and complex higher-order structure.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presets (deterministic generators with fixed seeds): long_range_planted (long temporal motif T&gt;100), heavy_tail_edges (power-law edge sizes), bursty_temporal (Poisson/Hawkes bursts), noisy_giant_edges (varying SNR). (B) Real-world temporal hypergraphs selected to stress large edges and temporal motifs (document provenance included). Splits: temporal-forward and inductive heldout-node splits; seeds &gt;= 8. Baselines: static hypergraph GNNs (HGNN, HyperGCN, AllSet variants), temporal GNNs adapted to hypergraphs (TGAT/TGN style), per-node SSM+MLP, and simpler ablations (no SSM, gates disabled, mean aggregation). Metrics: classification accuracy, micro/macro F1, per-class precision/recall, calibration metrics (ECE with 10 bins, Brier score), AUROC for binary labels, sample-complexity curves (accuracy vs number of labeled samples), runtime per epoch, and peak GPU memory. Experimental setup: train each config for fixed epochs with same optimizer and LR schedule, report mean±std across seeds, perform Wilcoxon paired tests for primary comparisons, and plot sample-complexity curves over labeled fractions. Ablations: (1) remove SSM (use raw temporal features), (2) disable gating (all gates=1), (3) replace transformer-like fusion with concatenation+MLP, (4) adapters off (no per-entity adapters). Additional tests: gating intervention ablation matrix (LR boost, temperature bump, logit biasing) with gate-dynamics plots (active fraction and gate entropy over epochs), and sparse vs dense kernel benchmarks across NNZ regimes (1e5,1e6,1e7) measuring throughput and numerical tolerance against FP32 reference.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gate collapse (all hyperedge gates near zero) or gate explosion (all gates near one); SSM instability if spectral-radius constraints are not enforced; numerical errors from mixed-precision fused kernels leading to divergence. Data and evaluation biases: synthetic presets may not reflect real-world distributions; inductive splits may produce rare classes with too few labels. Scalability constraints: very large N, giant hyperedges, or long T cause memory and compute blowup; distributed partitioning for giant edges is nontrivial. Theoretical limits: sample-complexity gains depend on the true signal being compressible by a low-dimensional SSM; if not, benefits vanish. Generalization limits: methods tuned to planted motifs or heavy-tailed edges may not transfer to graphs with different structural properties. Reproducibility caveats: custom CUDA kernels and FP16 behavior can vary across hardware, affecting numeric tolerances and determinism.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