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gnn_aclp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Subgraph-based graph neural networks with an LLM-powered netlist converter for analog circuit link prediction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Using subgraph-centric graph neural networks (GNNs) augmented with SPICE-derived small-signal features and an LLM-based netlist conversion stage will increase link-prediction precision (Precision@50) and decrease impact-regression mean absolute error (MAE) compared to topology-only and non-physics baselines on analog netlists.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to circuit link prediction have used: (1) rule-based heuristics that rely on design rules or simple electrical thresholds; (2) topology-only graph methods that use node/edge structure without SPICE features; and (3) generic GNNs applied to electronic layouts or digital netlists. Limitations: rule heuristics are high-bias and miss subtle parasitic effects; topology-only methods ignore device-level physics and thus give degraded impact estimates; prior GNNs often assume homogeneous graphs or dense features and do not exploit local subgraphs centered on candidate ports, reducing port-level resolution. Existing datasets are small or proprietary, limiting reproducibility. Netlist-format incompatibilities (many vendors and dialects) hamper broad application. Differentiable physics solvers have been proposed elsewhere but prior work either lacks a scalable sparse solver interface or does not expose autodiff gradients for end-to-end training. Robustness, adversarial realism, and hardware-SPICE calibration are under-addressed in prior pipelines.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analog circuit link prediction: deciding whether a candidate connection between ports exists or would materially affect analog performance, and estimating that effect. We propose GNN-ACLP, a method that (1) applies subgraph-based embeddings to candidate port neighborhoods for fine-grained, port-level link prediction, (2) integrates SPICE-derived small-signal features via a differentiable sparse solver to inject physics-aware signals, and (3) uses an LLM-powered netlist conversion tool to normalize netlist dialects into a canonical graph format. We contribute a labeled SpiceNetlist dataset of 775 transistor-level circuits across seven families and ten component classes. The main contribution is an end-to-end, reproducible pipeline combining subgraph GNNs, differentiable small-signal physics, and netlist-format augmentation to improve both classification precision and impact-regression accuracy. Expected outcomes: higher Precision@K and lower MAE on analog impact metrics versus topology-only and non-physics baselines, improved netlist compatibility across formats, and a reproducible benchmark suite for analog link prediction.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SpiceNetlist (775 annotated circuits, 7 families, 10 component classes). Publish a minimal open subset (≈500 circuits, ≈2k perturbations) with SPICE caches. Splits: family-level stratified 5-fold, leave-one-family-out (LOFO), and temporal holdout. Seeds: train=42, val=43, test=44; negative-sampling seeds: random=20260101, plausible=20260102, hard=20260103. Baselines: (1) rule-based heuristics (net-rule, pin-type, RC-threshold), (2) logistic regression on hand-crafted features, (3) MLP on adjacency+features, (4) simple physics-only analytical heuristics (e.g., small-signal gain formula for common-source stage), (5) GCN, (6) GAT, (7) R-GCN, (8) GNN-ACLP full model. Metrics: PR-AUC (precision-recall area under curve; measures precision vs recall), ROC-AUC, Precision@K (K=10,50), Recall@K, MAE/RMSE/R^2 for impact regression, NLL/Brier for probabilistic outputs, ECE and reliability diagrams (calibration), selective-prediction risk-coverage curves, and decision-theoretic cost curves (configurable FP/FN weights). Statistical reporting: report mean ±95% bootstrap CI, paired permutation tests, and Cohen's d; power analysis for main metrics. Experimental runs: rule baselines: 3 independent seeds; all learned models and ablations: 5 independent seeds each. Ablations (each with 5 seeds): (A) remove SPICE features (topology-only), (B) homogeneous graph (ignore node/edge types), (C) disable differentiable solver (physics off, use cached SPICE labels only), (D) vary negative-sampling (random, plausible, hard), (E) feature-group ablation (static vs SPICE-derived groups). Negative-sampling protocols: random negatives are any non-linked pin pairs; plausible negatives restrict to pin-compatible pairs within same block; hard negatives are top-ranked plausible non-links by a prefilter trained only on training families (prefilter pseudocode and unit tests to ensure no label leakage will be published). Training details: baseline GNN: 3 layers, hidden dim 128, GAT heads=4, dropout=0.1, LR=1e-3, batch=32, weight decay=1e-4. Physics-informed model: R-GCN 4 layers, hidden dim 256, LR grid [1e-4,1e-3], batch [16,64]. Solver checks: central finite-diff eps=1e-6 and complex-step eps=1e-12 (datatype-aware) over 20 log-spaced frequency points (10 Hz–10 GHz) for gradient validation. Compute budgets: report CPU-hours per SPICE tier (OP/linear ≈1–5s per run; AC/transient avg 60s), example: 10k circuits×10 perturbations ≈100k full SPICE→≈1,667 CPU hours. Training budgets: exploratory 1–2 GPUs×4 weeks (~1,344 GPU hours); full sweep 3k–5k GPU hours. Reproducibility: publish containers, seeds, DVC pointers, minimal subset, SPICE caches, baseline code, evaluation scripts, and saved checkpoints.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(1) differentiable solver numerical issues (ill-conditioning, floating nodes) causing invalid gradients or failed solves; (2) SPICE-to-hardware mismatch where SPICE-predicted deltas differ from measured hardware beyond acceptable margins. Data and evaluation biases: (1) limited dataset size (775 circuits) may not cover all analog motifs, limiting generalization; (2) hard-negative generation risks label leakage if prefilters use forbidden information. Scalability and compute limits: full AC/transient SPICE is expensive (30–300s per run), limiting exhaustive ablations; active learning will be compute-constrained. Numerical sensitivity: gradient-check epsilons and condition-number thresholds may need per-datatype tuning; poor tolerances cause false routing to full SPICE. Adversarial and realism limits: perturbations that change device values must remain within manufacturable ranges; unconstrained adversarial tests can be unrealistic. Governance and IP limits: licensed SPICE engines (Spectre) restrict public release; anonymization may remove features needed for best performance. Statistical limits: hardware validation sample sizes must be sufficient to estimate sigma_hw; small N increases uncertainty in acceptance decisions. Generalization: models trained on these families may not transfer to unseen topologies without LOFO evaluation.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