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decentralized_mab_ev_charging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Decentralized multi-agent two-armed Thompson sampling for coordinating electric vehicle charge/no-charge decisions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fully decentralized multi-agent algorithm that models each EV decision as a two-armed bandit and uses Thompson sampling with periodic gossip will lower network peak feeder load and network cumulative regret compared to independent local (no-communication) charging policies in the same simulated scenarios.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smart EV charging include centralized schedulers, multi-agent reinforcement learning, and bandit-based learners. Centralized methods can achieve good grid outcomes but require full-grid visibility and large communication/compute resources. Multi-agent RL can learn coordination but often needs heavy training, per-agent models, or global information. Decentralized multi-armed bandit algorithms and gossip protocols reduce central coordination needs, but prior work often lacks (1) practical, model-free two-action formulations tailored to EV charge/no-charge decisions, (2) explicit high-probability regret bounds that include communication delays, quantization, and gossip mixing, (3) integrated privacy accounting for differential privacy at edge nodes, and (4) validated LinDistFlow→AC safety margins for power systems. Privacy-preserving designs exist but trade off utility without tight regret-vs-privacy calibration. Robust aggregation for Byzantine agents is proposed in literature but remains costly on low-power edge devices.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decentralized coordination of electric vehicle (EV) charging by framing each instantaneous EV decision as a two-armed bandit: charge or not. We propose a fully decentralized, model-free method that runs Thompson sampling locally, shares compact sufficient statistics via periodic gossip, and uses primal-dual projections based on LinDistFlow sensitivities to respect feeder constraints. Thompson sampling is a probabilistic algorithm that samples from a belief distribution to trade off exploration and exploitation. The main contributions are: (1) a linear-in-arms, low-communication decentralized learning algorithm (d-mab2ab-ts) tailored to EV charge/no-charge choices; (2) non-asymptotic high-probability regret bounds that explicitly include gossip interval, spectral gap, quantization error, and delay; and (3) an integrated evaluation stack combining seeded mobility-based synthetic scenarios, differential-privacy calibration, and LinDistFlow-to-AC validation for safety margins. We expect the method to improve peak-load outcomes and user-level regret while preserving privacy and edge feasibility, enabling scalable, privacy-aware EV charging coordination without centralized control.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curated anonymized charging traces when available, harmonized to a canonical schema, and (b) synthetic archetypes (commuter, workplace, overnight, fleet, fast-charger, PV-aware) parameterized by arrival rates, dwell times, initial SOC, and energy demand. Scenarios: six baseline scenarios with EV counts {50,100,200,500}, tariff types {flat, TOU, dynamic}, PV presence on/off, and feeder specs (precomputed S matrices). Baselines: (1) independent local myopic policy (no communication), (2) centralized optimal scheduler (oracle), (3) decentralized UCB, (4) decentralized LinUCB with gossip. Metrics: network cumulative regret, per-agent cumulative regret, peak feeder load (kW), number and magnitude of voltage violations, deadline-adherence rate, bytes-per-decision, average latency, and privacy budget ε consumed. Privacy settings: per-epoch ε in {0.5,1.0,2.0} with moments-accountant accounting and corresponding Gaussian noise scales. Simulation setup: LinDistFlow environment with seeded RNGs (seeds.yaml), multiple topologies mapping to spectral gaps g=1-λ2; gossip intervals τ ∈ {1, ceil(1/g), 2·ceil(1/g)}; quantization levels matching float16/8 and sketching (report q as max absolute error); delays D ∈ {0,5,20} rounds. Runs: for each (scenario, baseline, τ, ε, q, D) perform at least 30 independent seeds to estimate mean and 95% confidence intervals; use paired statistical tests (Wilcoxon signed-rank) for comparisons. Ablations: (A) remove gossip (no-comm) vs full gossip, (B) vary τ to map consensus vs regret, (C) compare secure-aggregation vs plaintext gossip for privacy/utility, (D) LinDistFlow vs full AC validation: for 10 feeders run 1000 randomized draws to measure RMS and max voltage errors and determine safety margin δ. Report per-experiment logs, seeds, and CI-ready scripts in containers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consensus error can dominate sampling uncertainty when spectral gap 1-λ2 is small or gossip is infrequent, causing higher regret; quantization and delayed dual updates may inflate pulls on suboptimal arms. Data and evaluation biases: synthetic archetypes fitted to limited traces may not cover real user heterogeneity, producing optimistic results. Scalability and compute limits: secure aggregation and robust aggregation methods increase CPU and memory on low-power edge MCUs and may exceed real-time budgets. Privacy-utility trade-off: stronger differential privacy (smaller ε) can increase regret and degrade grid outcomes. LinDistFlow approximation limits: linear model errors grow for high loading, large R/X ratios, and strong unbalance; safety margin δ derived from LinDistFlow→AC validation may not cover rare extreme operating points. Robustness to adversaries: Byzantine agents can manipulate aggregated statistics and defensive aggregation increases cost and latency; bounds on tolerable f depend on n and may be restrictive. Generalization limits: results validated in simulation and HIL may not transfer to all real distribution networks without further site-specific calibration.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