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ai_for_hpc_efficiency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Quantile-targeted machine learning and optimization to reduce tail job slowdown and energy consumption in high-performance computing systems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Deploying quantile-targeted ML models together with AI-driven scheduling policies reduces the 95th-percentile job slowdown by at least 8% compared to the existing scheduler under randomized field trials.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applies machine learning and optimization to HPC for runtime prediction, energy estimation, scheduling heuristics, surrogate modeling, fault detection, and automation. Common methods include mean-focused regressors for runtime, reinforcement-learning or heuristic schedulers, and anomaly detectors for failures. Limitations are: (1) emphasis on average metrics rather than tail metrics (e.g., 95th-percentile slowdown), (2) lack of formal quantile inference or power analysis for tail KPIs, (3) small-scale or single-site evaluations without cluster-adjusted variance or intracluster correlation (ICC) sensitivity, (4) weak handling of interference/spillovers across jobs or nodes, (5) limited labeling scale and quality controls for failure datasets, and (6) few studies integrating privacy (differential privacy) or adversarial/data-integrity threat evaluations in operational pilots.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machine learning methods that directly target tail performance metrics can improve operational efficiency in high-performance computing (HPC). The problem is that optimizing averages often fails to reduce rare but costly slowdowns and energy spikes. We propose an integrated approach combining quantile-focused ML estimators (models trained to predict a chosen quantile, e.g., the 95th percentile), surrogate performance models for fast policy evaluation, and AI-driven scheduling or prefetching policies evaluated in randomized field trials. Main contributions are: (1) pre-registered quantile inference procedures (quantile regression with cluster-robust standard errors and bootstrap confidence intervals), (2) an ICC estimation and sensitivity-analysis protocol for clustered HPC traces (ICC measures similarity within clusters), and (3) interference-aware randomization designs (e.g., paired cluster or stepped-wedge) for scheduling and I/O experiments. Expected outcome: reproducible evidence whether quantile-targeted AI reduces tail slowdown and energy use in real workloads while reporting sample-size requirements and statistical validity for operational deployment.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historical cluster telemetry and job traces spanning 2019–2025, aggregated into 10s windows and sampled at 1 Hz; (b) pilot datasets: backfill scheduler traces (target 100k job traces), I/O prefetch traces (50k file-access traces), and failure windows (≥10k labeled windows with seed human-adjudicated labels). Baselines: current production scheduler (status quo policy), energy-aware heuristic scheduler, mean-trained regression models (MSE objective), and an RL-based scheduler baseline. Proposed models: quantile regression (pinball loss) for the 95th percentile, bootstrap-based quantile CI estimator (block bootstrap for clustering), and surrogate simulators for policy selection (fast approximate models). Pre-registered primary endpoint: 95th-percentile job slowdown (quantile estimator); secondary endpoints: energy per job (kWh), median and 95th I/O wait, and failure detector TPR/FPR. Statistical methods: estimate ICC from historical logs using random-effects (mixed) models; run sensitivity analysis over ICC range [0.01,0.10] for power. Randomization and designs: per-job stratified randomization by queue and job size with time-blocking for backfill; stepped-wedge or pair-matched cluster randomization for scheduling/I/O to reduce interference; cluster-randomization by node-group for failure detection. Analysis: intent-to-treat (ITT) as primary; per-protocol and complier-average causal effect (CACE) as secondary. Inference: quantile regression with cluster-robust SEs and bootstrap CI (block bootstrap) for the 95th percentile; adjust for multiple comparisons with hierarchical testing (declare 95th-percentile slowdown primary, others secondary) and Benjamini–Hochberg for exploratory metrics. Sample sizes: initial target ≈400 jobs per arm for 10% tail reduction, adjusted by design effect DE=1+(m−1)·ICC; require ≥200 labeled failure events for detector evaluation. Metrics and overhead: measure CPU overhead (&lt;1% target), controller latency, and feature-store size. Ablations: (A) quantile loss vs MSE loss (shows effect of quantile targeting); (B) centralized training vs federated with DP (ε={0.5,2,5}); (C) surrogate fidelity thresholds (MAPE levels) impact on policy transfer. Randomization checks: pre-specified balance diagnostics and permutation tests; pre-commit estimator code and seed handling in versioned notebooks.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Interference and spillovers: scheduling and I/O actions can affect unrelated jobs, violating no-interference assumptions and biasing estimates. ICC misspecification: errors estimating intracluster correlation from logs can under- or over-estimate sample size needs. Telemetry quality: missing, delayed, or tampered telemetry will reduce model accuracy and validity of inference. Label noise: human labeling for failures may have limited coverage and imperfect agreement, reducing detector performance. Privacy and leakage: differentially private training may reduce utility; chosen ε values may not match real threat scenarios. Adversarial inputs: spoofed telemetry or poisoned data can degrade policies or cause unsafe actions. Compute and scale: training quantile-focused models and surrogate simulators at required scale may be computationally expensive. Generalization: models trained on one site or hardware mix may not generalize to other clusters or future workloads. Noncompliance: operators or schedulers may not fully execute assigned treatments, complicating causal estimation. Safety failure modes: incorrect policy actions could increase tail slowdown or violate QoS temporarily during trials.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