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rural_egad_fb_cancer_prevention</w:t>
      </w:r>
    </w:p>
    <w:p>
      <w:r>
        <w:t xml:space="preserve"> </w:t>
      </w:r>
    </w:p>
    <w:p>
      <w:pPr>
        <w:pStyle w:val="Heading2"/>
      </w:pPr>
      <w:r>
        <w:t>Title</w:t>
      </w:r>
    </w:p>
    <w:p>
      <w:r>
        <w:t>A randomized pilot of a co-created Facebook-delivered web intervention to increase autonomous motivation and reduce cancer risk behaviors among rural emerging adults</w:t>
      </w:r>
    </w:p>
    <w:p>
      <w:r>
        <w:t xml:space="preserve"> </w:t>
      </w:r>
    </w:p>
    <w:p>
      <w:pPr>
        <w:pStyle w:val="Heading2"/>
      </w:pPr>
      <w:r>
        <w:t>Short Hypothesis</w:t>
      </w:r>
    </w:p>
    <w:p>
      <w:r>
        <w:t>Randomized assignment to the co-created Facebook-delivered intervention will produce a greater increase in autonomous motivation (TSRQ-autonomous score) from baseline to 3 months compared with a time-/format-matched attention-control.</w:t>
      </w:r>
    </w:p>
    <w:p>
      <w:r>
        <w:t xml:space="preserve"> </w:t>
      </w:r>
    </w:p>
    <w:p>
      <w:pPr>
        <w:pStyle w:val="Heading2"/>
      </w:pPr>
      <w:r>
        <w:t>Related Work</w:t>
      </w:r>
    </w:p>
    <w:p>
      <w:r>
        <w:t>Prior work includes scalable web- and social-media–delivered prevention programs, community-engaged intervention co-creation, and multi-behavior behavior-change interventions for young adults. Existing approaches show that social-media delivery can reach dispersed populations and that theory-based behavior change techniques (BCTs) can improve motivation and self-efficacy. Limitations include weak linkage between proximal mediators (like autonomous motivation) and verified clinical endpoints, inconsistent fidelity measurement (log rules vary or are unpublished), sparse documentation of registry linkage methods for objective outcomes, little attention to rural connectivity and privacy constraints, and few studies that integrate preregistered mediation analyses. Many prior pilots rely on self-reported outcomes only, use simple exposure cutpoints without validation (e.g., arbitrary video-watch thresholds), and lack explicit contamination monitoring in tight-knit rural networks. These gaps reduce reproducibility and limit reliable planning for definitive trials.</w:t>
      </w:r>
    </w:p>
    <w:p>
      <w:r>
        <w:t xml:space="preserve"> </w:t>
      </w:r>
    </w:p>
    <w:p>
      <w:pPr>
        <w:pStyle w:val="Heading2"/>
      </w:pPr>
      <w:r>
        <w:t>Abstract</w:t>
      </w:r>
    </w:p>
    <w:p>
      <w:r>
        <w:t>We address cancer-risk behaviors among rural emerging adults by developing and pilot-testing a co-created, theory-driven web intervention delivered through private Facebook groups. The study tests whether the digital intervention increases autonomous motivation—a proximal mediator measured by the Treatment Self-Regulation Questionnaire autonomous subscale (TSRQ-autonomous)—from baseline to 3 months relative to a time-/format-matched attention control. The main contribution is a preregistered pilot protocol combining randomized evaluation, objective HPV vaccine verification via immunization registries, a transparent behavior-change-technique (BCT) log-to-BCT mapping, and mixed-methods integration to explain mechanisms. We estimate mediation using counterfactual causal mediation methods, apply robust missing-data procedures, and evaluate fidelity with reproducible log rules. Expected outcomes are: measurable increase in autonomous motivation, documented feasibility metrics (retention, module completion, acceptability), and pilot estimates for indirect/direct effects to inform definitive trial sample sizes. Impact: produce reproducible artifacts (SAP, BCT codebook, registry-consent templates) to enable rigorous scaling and to improve objective outcome ascertainment in rural digital prevention trials.</w:t>
      </w:r>
    </w:p>
    <w:p>
      <w:r>
        <w:t xml:space="preserve"> </w:t>
      </w:r>
    </w:p>
    <w:p>
      <w:pPr>
        <w:pStyle w:val="Heading2"/>
      </w:pPr>
      <w:r>
        <w:t>Experiments</w:t>
      </w:r>
    </w:p>
    <w:p>
      <w:r>
        <w:t>Datasets: (1) Pilot participant data N=80 randomized 1:1 (intervention vs attention-control) with baseline, 3-, 6-, 12-month surveys including TSRQ-autonomous, self-efficacy scales, sun-protection items, outcome-expectancy items, AIM/IAM/FIM; (2) backend engagement logs (time-stamped module_start/module_complete, video_watch_pct, action_plan_saved, practice_entry, scheduling_click, self_monitor_entry); (3) state immunization registry linkage results for HPV vaccine initiation verification; (4) qualitative interview transcripts (n=24–30 purposive). Baselines: time-/format-matched attention-control; additional baseline comparator: simplified information-only web module (ablation). Evaluation metrics: primary mediator = change in TSRQ-autonomous (continuous); distal clinical = verified HPV vaccine initiation within 3 months (binary); fidelity = exposure to core BCTs (binary and dose-coded); engagement = retention at 3 months (%) and % completing ≥3 core modules; acceptability = AIM mean score; contamination = % controls reporting exposure; registry linkage metrics = match rate, precision, clerical-review rate. Statistical setup: ITT analyses for primary mediator using linear regression adjusted for stratifiers (baseline vaccine status, age group, county) and baseline TSRQ; per-protocol sensitivity including participants meeting fidelity. Causal mediation: estimate natural indirect/direct effects with Imai/mediate and VanderWeele methods, bootstrap CIs (≥1000 resamples); report E-values and rho-sensitivity. Missing-data: MICE with m = max(50,%missing), include engagement auxiliaries. Simulation ablations: (A) remove scheduling/linkage BCTs vs full intervention, (B) fidelity thresholds comparison (≥3 core modules vs ≥2 vs ≥4), (C) video_watch_pct cutpoints sensitivity (≥80% vs ≥70% exposure), (D) contamination scenarios (15% vs 30%) impact on effect estimates. Registry comparison: deterministic matching vs Fellegi–Sunter probabilistic matching with thresholds (≥0.85 auto, ≤0.40 non-match, 0.40–0.85 clerical review); report linkage yield sensitivity. Qualitative analysis: hybrid deductive-inductive coding, joint displays linking participant themes to TSRQ change and BCT exposure. Power/simulation: run pilot-based mediation power simulations for sample N=80 across ICC values {0,0.01,0.05,0.1} and small/medium/large mediator→outcome effect sizes to report detectable indirect/direct effects.</w:t>
      </w:r>
    </w:p>
    <w:p>
      <w:r>
        <w:t xml:space="preserve"> </w:t>
      </w:r>
    </w:p>
    <w:p>
      <w:pPr>
        <w:pStyle w:val="Heading2"/>
      </w:pPr>
      <w:r>
        <w:t>Risk Factors And Limitations</w:t>
      </w:r>
    </w:p>
    <w:p>
      <w:r>
        <w:t>Technical failures: Facebook platform policy changes or group delivery limits; offline-first PWA sync errors causing log loss. Data biases: self-report bias for non-verified outcomes; registry linkage variability across states causing differential missingness. Matching errors: false matches or missed matches from probabilistic linkage; clerical review workload higher than anticipated. Power and inference: pilot N=80 limited power for mediation tests and for detecting small effects; mediation requires untestable no-unmeasured-confounding assumptions. Contamination: high cross-arm exposure in tight rural networks reducing contrast. Generalization: results may not generalize beyond rural emerging adults or to non-Facebook platforms. Privacy and acceptability: multimedia in small communities risks re-identification despite redaction. Scalability: staffing and per-state DUA timelines may delay registry verification; compute and storage limits for encrypted multimedia and audit logs may increase costs.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