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choroid_plexus_a2a_hydrocephalus</w:t>
      </w:r>
    </w:p>
    <w:p>
      <w:r>
        <w:t xml:space="preserve"> </w:t>
      </w:r>
    </w:p>
    <w:p>
      <w:pPr>
        <w:pStyle w:val="Heading2"/>
      </w:pPr>
      <w:r>
        <w:t>Title</w:t>
      </w:r>
    </w:p>
    <w:p>
      <w:r>
        <w:t>Targeted modulation of choroid plexus adenosine A2A receptor signaling to reduce cerebrospinal fluid hypersecretion and ventriculomegaly in hydrocephalus</w:t>
      </w:r>
    </w:p>
    <w:p>
      <w:r>
        <w:t xml:space="preserve"> </w:t>
      </w:r>
    </w:p>
    <w:p>
      <w:pPr>
        <w:pStyle w:val="Heading2"/>
      </w:pPr>
      <w:r>
        <w:t>Short Hypothesis</w:t>
      </w:r>
    </w:p>
    <w:p>
      <w:r>
        <w:t>Activation of adenosine A2A receptors in choroid plexus epithelial cells increases CSF production and lateral ventricle volume via PI3K/AKT-dependent SPAK phosphorylation and NF-κB-driven upregulation of ATP1A2, and pharmacologic antagonism of A2A receptors with istradefylline will reduce CSF production and prevent ventriculomegaly.</w:t>
      </w:r>
    </w:p>
    <w:p>
      <w:r>
        <w:t xml:space="preserve"> </w:t>
      </w:r>
    </w:p>
    <w:p>
      <w:pPr>
        <w:pStyle w:val="Heading2"/>
      </w:pPr>
      <w:r>
        <w:t>Related Work</w:t>
      </w:r>
    </w:p>
    <w:p>
      <w:r>
        <w:t>Prior studies implicate adenosine A2A receptor (A2AR) signaling in control of CSF secretion and link A2AR activity to ventriculomegaly. Work on epithelial ion transport identifies NKCC1 (a sodium-potassium-chloride cotransporter) and SPAK kinase (a regulator that phosphorylates NKCC1) as drivers of transepithelial ion flux, and NF-κB transcriptional programs have been associated with regulation of ATP1A2 (the Na+/K+-ATPase alpha2 subunit) in epithelia. Existing approaches have used systemic pharmacology and correlative transcriptomics or imaging, but they have limitations: 1) lack of CP-specific causal manipulations to prove choroid-plexus origin of CSF hypersecretion; 2) few studies connect molecular phosphorylation events to measured CSF output, ICP, and MRI ventricular volume in the same subjects; 3) temporal dynamics of extracellular adenosine at the CP are poorly quantified because sub-second sensors and absolute LC-MS methods have not been fused robustly; 4) translational gaps include uncertain CP drug exposure, systemic A2A cardiovascular effects, and incomplete antibody/phosphosite validation for phospho-NKCC1.</w:t>
      </w:r>
    </w:p>
    <w:p>
      <w:r>
        <w:t xml:space="preserve"> </w:t>
      </w:r>
    </w:p>
    <w:p>
      <w:pPr>
        <w:pStyle w:val="Heading2"/>
      </w:pPr>
      <w:r>
        <w:t>Abstract</w:t>
      </w:r>
    </w:p>
    <w:p>
      <w:r>
        <w:t>Hydrocephalus involves excess cerebrospinal fluid (CSF) accumulation and enlarged cerebral ventricles (ventriculomegaly). We test whether aberrant adenosine A2A receptor (A2AR) signaling in the choroid plexus (CP) directly drives CSF hypersecretion and ventricular enlargement via two parallel mechanisms: PI3K/AKT-dependent SPAK phosphorylation (modulating NKCC1 activity) and NF-κB-dependent transcriptional upregulation of ATP1A2 (affecting Na+/K+-ATPase). The project combines CP-specific genetic manipulation, pharmacologic antagonism with istradefylline, quantitative physiology (ventriculo-cisternal CSF production, Ussing chamber transepithelial current, ICP telemetry), high-resolution MRI volumetry, targeted phospho-proteomics, and fused adenosine measurements (sub-second biosensors calibrated to microdialysis+LC-MS/MS). The main contribution is a multi-modal, causal test of CP A2AR → molecular effector → CSF output → ventriculomegaly chain, with pre-specified quantitative thresholds for molecular-to-physiologic translation. Expected outcomes are: (1) demonstration of CP A2AR as a causal node controlling CSF secretion, (2) validated molecular biomarkers (pSPAK/pNKCC1, ATP1A2, AQP1 trafficking) that predict CSF change, and (3) PK/PD data supporting repurposing istradefylline or CP-targeted delivery strategies for hydrocephalus therapy.</w:t>
      </w:r>
    </w:p>
    <w:p>
      <w:r>
        <w:t xml:space="preserve"> </w:t>
      </w:r>
    </w:p>
    <w:p>
      <w:pPr>
        <w:pStyle w:val="Heading2"/>
      </w:pPr>
      <w:r>
        <w:t>Experiments</w:t>
      </w:r>
    </w:p>
    <w:p>
      <w:r>
        <w:t>Datasets and models: 1) Rodent cohorts: kaolin-induced hydrocephalus model and genetic Adora2a^flox/flox × Ttr-CreERT2 conditional knockout; 2) CP explants and acute slices for biosensor calibration; 3) Göttingen minipig for bridging PK/PD and PET feasibility. Baselines and arms: vehicle, selective A2A agonist, istradefylline systemic, istradefylline intraventricular, CP-A2AR knockout, CP-A2AR rescue, NKCC1 inhibitor (bumetanide) control. Sample sizes and power: alpha=0.05, power=0.8. Detectable effect size (relative change) targets: CSF production and MRI ventricle % change = 20% (MDES), ICP = 15% MDES, Ussing Isc = 20% MDES. Recommended group Ns derived from pilot SDs (pilot n=6/arm): Ussing n=9/group, ventriculo-cisternal CSF n=12/group, MRI longitudinal n=14/group, ICP telemetry n=13/group; inflate by 15% for attrition. Interim rules: single interim at 50% of planned N; stop for futility if conditional power &lt;40% for the primary endpoint; stop for efficacy if interim two-sided p&lt;0.001 for primary endpoint; otherwise continue. Primary evaluation metrics: ventriculo-cisternal CSF production rate (µL/min), lateral ventricle volume % change by MRI, ICP mean (mmHg), Ussing transepithelial short-circuit current Isc (µA/cm2) where Ussing chamber measures ion transport across epithelium. Molecular metrics: phospho-NKCC1 abundance (relative quantification by targeted PRM/SRM and validated phospho-antibody western blot), SPAK phosphorylation, ATP1A2 mRNA/protein, intracellular cAMP (Epac FRET sensor deltaF/F), apical AQP1 surface fraction (biotinylation ratio). Adenosine sensor validation: enzyme electrochemical sensor LOD ≤10 nM, dynamic range 10 nM–10 µM, response time ≤50 ms; microdialysis+LC-MS/MS absolute quantitation LOD ≤50 nM; fusion algorithm performance thresholds RMSE ≤10% of mean basal, latency ≤1 s for aligned events. Imaging: 7T MRI structural T2 (0.08–0.15 mm in-plane), phase-contrast aqueductal flow, DCE for CP Ktrans when feasible. Statistical analysis: mixed-effects longitudinal models with fixed effects (treatment, time, sex, age, anesthesia protocol, temperature) and random intercept per animal; primary familywise error controlled (single primary endpoint or Bonferroni across two primaries), secondary outcomes FDR&lt;0.05. Comparisons/ablations: 1) istradefylline systemic vs intraventricular to compare CP exposure; 2) CP-A2AR KO vs pharmacologic antagonism to test genetic vs drug effects; 3) NKCC1 inhibition alone and combined with A2A antagonism to test pathway dependence; 4) PI3K/AKT and NF-κB pathway inhibition (pharmacologic or genetic) to ablate each branch and measure resulting molecular and physiologic endpoints. Assay QC thresholds for progression: reproducible ≥30% change in phospho-NKCC1 or ≥2-fold cAMP change and ≥40% increase in apical AQP1 predict target ≥20% CSF change; antibody and sensor validation raw QC outputs attached to preregistration.</w:t>
      </w:r>
    </w:p>
    <w:p>
      <w:r>
        <w:t xml:space="preserve"> </w:t>
      </w:r>
    </w:p>
    <w:p>
      <w:pPr>
        <w:pStyle w:val="Heading2"/>
      </w:pPr>
      <w:r>
        <w:t>Risk Factors And Limitations</w:t>
      </w:r>
    </w:p>
    <w:p>
      <w:r>
        <w:t>Technical failure modes: insufficient CP specificity of genetic or viral tools (off-target recombination), poor transduction efficiency, antibody cross-reactivity or failure to validate phospho-specific antibodies, low sensitivity or high noise of adenosine biosensors in tissue. Measurement and biological variability: high inter-animal variability in CSF production, ICP, and MRI volumetry may reduce power; circadian and anesthesia effects on adenosine and cAMP introduce confounders. Safety and off-target effects: systemic A2A antagonism or intraventricular delivery may cause cardiovascular changes or local inflammation impacting readouts. Scalability and translation: rodent CP physiology may not scale to human; minipig bridging may still leave uncertainty for human dosing and AAV immunogenicity. PK/PD and formulation limits: achieving CP/plasma partitioning and receptor occupancy targets may not be feasible for all small molecules; intraventricular infusion volumes/rates have narrow safety margins. Imaging and sensor limits: PC‑MRI or DCE may fail to reach required spatial/temporal resolution in some cohorts; fusion algorithm validated ex vivo may not perform identically in vivo. Regulatory and timeline constraints: two-species toxicology, IND-enabling studies, and AAV immunogenicity assays add time and resource needs that may delay translation.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