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iot_healthcare_weighted_meta</w:t>
      </w:r>
    </w:p>
    <w:p>
      <w:r>
        <w:t xml:space="preserve"> </w:t>
      </w:r>
    </w:p>
    <w:p>
      <w:pPr>
        <w:pStyle w:val="Heading2"/>
      </w:pPr>
      <w:r>
        <w:t>Title</w:t>
      </w:r>
    </w:p>
    <w:p>
      <w:r>
        <w:t>Weighted and Random-Effects Meta-Analytic Review of Theoretical Frameworks and Predictors of Internet of Things Adoption in Health Care</w:t>
      </w:r>
    </w:p>
    <w:p>
      <w:r>
        <w:t xml:space="preserve"> </w:t>
      </w:r>
    </w:p>
    <w:p>
      <w:pPr>
        <w:pStyle w:val="Heading2"/>
      </w:pPr>
      <w:r>
        <w:t>Short Hypothesis</w:t>
      </w:r>
    </w:p>
    <w:p>
      <w:r>
        <w:t>Higher performance expectancy (perceived usefulness) causes increased individual adoption intention and subsequent actual use of IoT technologies in health care, and this causal effect is attenuated when trust/privacy concerns are higher.</w:t>
      </w:r>
    </w:p>
    <w:p>
      <w:r>
        <w:t xml:space="preserve"> </w:t>
      </w:r>
    </w:p>
    <w:p>
      <w:pPr>
        <w:pStyle w:val="Heading2"/>
      </w:pPr>
      <w:r>
        <w:t>Related Work</w:t>
      </w:r>
    </w:p>
    <w:p>
      <w:r>
        <w:t>Prior work includes theory-driven primary studies using TAM/UTAUT variants and narrative or small-scale meta-analyses that synthesize correlational evidence on technology adoption. Existing syntheses often analyze single metrics (for example, only odds ratios or only correlations), assume independent effects per study, and rely on inverse-variance random-effects pooling without systematic quality-weighting. Limitations include inconsistent handling of dependent effects within studies (multiple outcomes or timepoints), limited harmonization of heterogeneous effect metrics (OR, HR, standardized betas, mean differences), sparse coding of technical and regulatory covariates, inconsistent inclusion of grey literature, and little integration of privacy/ethics reporting into study quality. Prior reviews rarely apply meta-analytic structural equation modeling (MASEM) to test mechanistic pathways, and they do not uniformly preregister conversion approximations or validate them by simulation. These gaps leave unresolved which predictors are robust across device types, stakeholders, and regulatory contexts, and how study quality and measurement differences bias pooled estimates.</w:t>
      </w:r>
    </w:p>
    <w:p>
      <w:r>
        <w:t xml:space="preserve"> </w:t>
      </w:r>
    </w:p>
    <w:p>
      <w:pPr>
        <w:pStyle w:val="Heading2"/>
      </w:pPr>
      <w:r>
        <w:t>Abstract</w:t>
      </w:r>
    </w:p>
    <w:p>
      <w:r>
        <w:t>Adoption of Internet of Things (IoT) technologies in health care shows promise but evidence across studies is fragmented and heterogeneous. We present a methods-focused weighted and random-effects meta-analytic review to identify influential predictors and theoretical frameworks that explain individual adoption intention and actual use of IoT in clinical contexts. We will perform exhaustive database and grey-literature searches, harmonize diverse reported effects to Fisher z (a statistical scale for correlations), compute normalized study quality scores Q_i_norm, and apply a preregistered quality-adjusted inverse-variance estimator (w_i = (1/var_i)*(1 + k*(Q_i_norm − mean_Q))). Dependent effects will be modeled with multilevel random-effects or robust variance estimation (RVE) and, when possible, meta-analytic structural equation models (MASEM) will test mediation paths. Deliverables include ranked predictors and frameworks, heterogeneity and bias assessments, and fully reproducible code and data artifacts. Expected outcome: a validated, transparent synthesis that clarifies which behavioral, technical, and regulatory factors most consistently predict IoT adoption in health care and informs future study design and policy.</w:t>
      </w:r>
    </w:p>
    <w:p>
      <w:r>
        <w:t xml:space="preserve"> </w:t>
      </w:r>
    </w:p>
    <w:p>
      <w:pPr>
        <w:pStyle w:val="Heading2"/>
      </w:pPr>
      <w:r>
        <w:t>Experiments</w:t>
      </w:r>
    </w:p>
    <w:p>
      <w:r>
        <w:t>Datasets: Systematic collection of quantitative primary studies from PubMed/MEDLINE, Embase, Scopus, Web of Science, IEEE Xplore, CINAHL, PsycINFO, ProQuest Dissertations &amp; Theses, ClinicalTrials.gov, WHO ICTRP, medRxiv/arXiv, OpenGrey, conference proceedings (AMIA, HIMSS, IEEE), OSF, and Google Scholar (first 200 hits). Inclusion: peer-reviewed or eligible grey reports with extractable effect sizes or sufficient statistics, outcomes: adoption intention and actual use (objective or self-report), primary predictors: performance expectancy/perceived usefulness and trust/privacy; sample thresholds: N≥30 for correlational, N≥100 preferred for SEM. Effect harmonization: convert OR, HR, standardized beta, Cohen's d, and mean differences to Pearson r then Fisher z using algebraic rules (examples: d = ln(OR)*√3/π → r = d/√(d^2+4); z = atanh(r); var(z)=1/(n−3) unless SE reported). Baselines: (A) standard inverse-variance random-effects meta-analysis (no quality weight), (B) meta-regression with Q_i_norm as covariate, (C) quality-weighted estimator w_i = (1/var_i)*(1 + k*(Q_i_norm − mean_Q)) with k ∈ {0,0.5,1} tested. Modeling dependent effects: use metafor::rma.mv for known covariances, mvmeta or metaSEM when matrices available, and robumeta/clubSandwich RVE when covariances unknown (RVE explained: robust method that accounts for correlated effects). MASEM: run when ≥10–15 independent studies provide correlation matrices; estimator ML/REML. Minimum-k rules: basic random-effects if k≥3; meta-regression and PET-PEESE if k≥10; RVE if k≥10; metaSEM/MASEM if k≥10–15 (prefer ≥20). Missing data: contact authors twice, compute from t/z/F/χ2/p when possible, impute variances with MICE m=20 (predictive mean matching) only for sensitivity analyses. Metrics: pooled Fisher z back-transformed to r, 95% CI, tau^2 (between-study variance), I^2 (heterogeneity proportion), 95% prediction interval, p-values for moderators, model AIC/BIC, Egger test, PET-PEESE, trim-and-fill, and selection-model sensitivity. Ablations: (1) compare quality-weighted estimator vs standard inverse-variance, (2) compare harmonization via approximant conversions versus meta-analyzing native metrics (log-OR/log-HR) when possible, (3) compare inclusion vs exclusion of grey literature, (4) compare inclusion vs exclusion of single-item privacy measures. Software and reproducibility: R scripts using metafor, robumeta, clubSandwich, mvmeta, metaSEM; seed and package versions preregistered; all code and raw exports archived on OSF.</w:t>
      </w:r>
    </w:p>
    <w:p>
      <w:r>
        <w:t xml:space="preserve"> </w:t>
      </w:r>
    </w:p>
    <w:p>
      <w:pPr>
        <w:pStyle w:val="Heading2"/>
      </w:pPr>
      <w:r>
        <w:t>Risk Factors And Limitations</w:t>
      </w:r>
    </w:p>
    <w:p>
      <w:r>
        <w:t>1) Effect-metric conversion bias: algebraic approximations (e.g., ln(HR)→d) may introduce bias for extreme effects or small samples. 2) Measurement heterogeneity: varied instruments and single-item measures limit comparability and may inflate heterogeneity (I^2). 3) Dependent effects and small k: few independent studies per predictor may prevent multilevel or MASEM analyses and reduce estimator reliability. 4) Publication and grey-literature bias: unpublished null results or selective reporting may skew pooled estimates. 5) Incomplete reporting: missing variances, covariances, or regulatory/technical detail will reduce usable data and require imputation that increases uncertainty. 6) Quality-score subjectivity: Q_i_norm depends on weighted item judgments and may introduce researcher bias into weighting. 7) Cross-language errors: machine translations used for non-English records risk misclassification. 8) Generalizability limits: findings may not transfer across device classes, clinical specialties, or jurisdictions with different regulations. 9) Computational and reproducibility constraints: complex MASEM and simulation tuning require compute and careful unit testing; failure to validate approximations may undermine conclusions.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