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w:t>
      </w:r>
    </w:p>
    <w:p>
      <w:r>
        <w:t xml:space="preserve"> </w:t>
      </w:r>
    </w:p>
    <w:p>
      <w:pPr>
        <w:pStyle w:val="Heading2"/>
      </w:pPr>
      <w:r>
        <w:t>Title</w:t>
      </w:r>
    </w:p>
    <w:p>
      <w:r>
        <w:t>Retrospective ROC and causal analysis of albumin-corrected anion gap to predict elevated serum lactate in emergency department patients with sepsis without shock</w:t>
      </w:r>
    </w:p>
    <w:p>
      <w:r>
        <w:t xml:space="preserve"> </w:t>
      </w:r>
    </w:p>
    <w:p>
      <w:pPr>
        <w:pStyle w:val="Heading2"/>
      </w:pPr>
      <w:r>
        <w:t>Short Hypothesis</w:t>
      </w:r>
    </w:p>
    <w:p>
      <w:r>
        <w:t>In emergency department patients diagnosed with sepsis without shock, an albumin-corrected anion gap (AGcorr) ≥12 mEq/L increases the probability of having serum lactate &gt;2 mmol/L within the paired draw window compared with AGcorr &lt;12 mEq/L.</w:t>
      </w:r>
    </w:p>
    <w:p>
      <w:r>
        <w:t xml:space="preserve"> </w:t>
      </w:r>
    </w:p>
    <w:p>
      <w:pPr>
        <w:pStyle w:val="Heading2"/>
      </w:pPr>
      <w:r>
        <w:t>Related Work</w:t>
      </w:r>
    </w:p>
    <w:p>
      <w:r>
        <w:t>Prior work has measured associations between anion gap (AG) and serum lactate and has proposed albumin correction (AGcorr) to account for hypoalbuminemia. Existing approaches include using raw AG or simple corrected AG thresholds and conventional ROC or logistic-model discrimination. Limitations in prior work are: many studies include heterogenous cohorts (mixing shock and non-shock patients), lack harmonized assay metadata (POC vs central differences), do not systematically correct for measurement error, rarely re-estimate the albumin multiplier across sites, and do not separate predictive versus causal estimands. Thresholds were often chosen post hoc without multiplicity control. Missing albumin handling is inconsistent (complete-case only or ad hoc imputation), and few studies evaluate clinical impact (decision-curve or net benefit) or report calibration and heterogeneity by subgroups and sites.</w:t>
      </w:r>
    </w:p>
    <w:p>
      <w:r>
        <w:t xml:space="preserve"> </w:t>
      </w:r>
    </w:p>
    <w:p>
      <w:pPr>
        <w:pStyle w:val="Heading2"/>
      </w:pPr>
      <w:r>
        <w:t>Abstract</w:t>
      </w:r>
    </w:p>
    <w:p>
      <w:r>
        <w:t>We evaluate whether albumin-corrected anion gap (AGcorr) predicts elevated serum lactate (&gt;2 mmol/L and &gt;4 mmol/L) in emergency department patients diagnosed with sepsis who do not have shock. Using a multicenter retrospective ED cohort with paired electrolyte, albumin, and lactate draws, we will derive AGcorr and test pre-specified cutpoints (primary: ≥12 mEq/L) with ROC analysis and estimate causal absolute risk differences using targeted maximum likelihood estimation (TMLE). We will harmonize assay metadata, apply measurement-error correction, and handle missing albumin with time-aware multiple imputation. Main contributions are (1) a reproducible, assay-aware evaluation of AGcorr performance for two lactate thresholds, (2) prespecified continuous and threshold analyses with multiplicity control, and (3) causal-effect estimates and decision-curve analyses to quantify potential clinical utility. Expected outcomes are validated AGcorr cutpoints, uncertainty bounds that reflect assay and missing-data sources, and clear performance metrics to inform whether AGcorr can triage lactate testing in sepsis without shock.</w:t>
      </w:r>
    </w:p>
    <w:p>
      <w:r>
        <w:t xml:space="preserve"> </w:t>
      </w:r>
    </w:p>
    <w:p>
      <w:pPr>
        <w:pStyle w:val="Heading2"/>
      </w:pPr>
      <w:r>
        <w:t>Experiments</w:t>
      </w:r>
    </w:p>
    <w:p>
      <w:r>
        <w:t>Datasets: multicenter retrospective ED encounters meeting suspected-infection phenotype (primary: antibiotic order in ED + blood culture order within prespecified windows), excluding encounters with vasopressors started before draw_time (to exclude shock). Include assay metadata (analyzer_id, specimen_type, POC_flag, units) and draw_time timestamps. Also use a planned prospective substudy (n=150-200 paired encounters) for validation of imputation and assay concordance. Baselines: raw AG (Na − [Cl + HCO3]), AGcorr with fixed multipliers (2.0, 2.5, 3.0), parsimonious logistic regression, Super Learner (ensemble of algorithms), and unadjusted threshold rule (AGcorr ≥12). Primary outcomes: lactate &gt;2 mmol/L (primary) and lactate &gt;4 mmol/L (co-primary). Evaluation metrics: ROC AUC (area under curve; measure of discrimination), sensitivity, specificity, PPV, NPV, calibration intercept and slope, calibration plots, decision-curve net benefit (DCA), likelihood ratios, TMLE-estimated absolute risk difference with bootstrap 95% CI, and site-stratified performance. Experimental setup: pair labs using draw_time within ±30 minutes (primary), with sensitivity windows ±60 and ±120 minutes. Handle missing albumin via time-aware MICE (multiple imputation by chained equations; simple term: repeated model-based filling) within 6 hours and produce IPW diagnostics (inverse-probability weighting). Correct measurement error using regression calibration (simple correction for bias) and run SIMEX (simulation extrapolation) as sensitivity. Validation: 5-fold cross-validation stratified by site; external validation by holding out one site. Multiplicity control: primary hypothesis tests at alpha=0.05 for lactate&gt;2 and &gt;4; threshold searches use bootstrap-adjusted p-values or permutation-based family-wise error control. Ablations: (A) remove albumin correction (raw AG), (B) vary albumin multipliers, (C) skip measurement-error correction, (D) impute albumin with naive mean-imputation. Report impact on AUC, calibration, TMLE risk differences, and DCA.</w:t>
      </w:r>
    </w:p>
    <w:p>
      <w:r>
        <w:t xml:space="preserve"> </w:t>
      </w:r>
    </w:p>
    <w:p>
      <w:pPr>
        <w:pStyle w:val="Heading2"/>
      </w:pPr>
      <w:r>
        <w:t>Risk Factors And Limitations</w:t>
      </w:r>
    </w:p>
    <w:p>
      <w:r>
        <w:t>Residual confounding from unmeasured severity markers may bias causal estimates; retrospective design limits ability to claim causal effect of intervening on AGcorr. Missing or delayed draw_time and missing albumin can induce selection bias and reduce real-time CDS utility. Measurement heterogeneity across analyzers and POC vs central labs can introduce systematic error and reduce generalizability. Small effect sizes could yield statistically significant but clinically marginal RD (&lt;5%), limiting usefulness. Prospective substudy sample size (150-200) may be underpowered for site-level or subgroup validation (CKD, low albumin). Calibration and discrimination may vary by site and patient subgroup, risking inequitable performance across race/ethnicity, age, or payer groups. Operational risk: false positives could increase unnecessary lactate testing and clinician burden. Computational risks: complex TMLE and Super Learner pipelines increase reproducibility demands and require careful provenance and containerization to avoid analytic drift.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