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triherbal_thromboinflammation_dm_rat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Evaluation of anti-thromboinflammatory effects of a 1:1:1 aqueous triherbal extract of Moringa oleifera, Ocimum gratissimum, and Vernonia amygdalina in streptozotocin-induced diabetic rats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Daily oral administration of 150 mg/kg of the 1:1:1 aqueous blended extract for 28 days causes a &gt;=25% prolongation of time to stable arterial occlusion in the FeCl3 carotid injury model and a &gt;=25% reduction in plasma citrullinated histone H3 (citH3) at steady-state Tmax compared with untreated diabetic controls.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Previous studies report anti-inflammatory, antiplatelet, and antidiabetic properties of Moringa, Ocimum, Vernonia and combinations thereof. Prior work often uses single-herb extracts, small cohorts, or short treatment windows and focuses on single readouts (glucose, generic inflammation markers). Limitations include: lack of standardized extraction and batch QA, sparse PK/PD linking of circulating phytochemicals to biomarkers, inconsistent pre-analytic sample handling (leading to platelet or NETosis artifacts), limited use of mechanistic thromboinflammatory biomarkers (e.g., citH3, MPO-DNA, cfDNA), inadequate sex-stratification, and scarce independent replication. These gaps reduce reproducibility and limit translation to human exposure and safety assessment.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Diabetic subjects have increased thromboinflammatory risk driven by platelet activation and neutrophil extracellular traps (NETs). This study tests whether a standardized 1:1:1 aqueous blend of Moringa oleifera, Ocimum gratissimum, and Vernonia amygdalina reduces thromboinflammation in streptozotocin (STZ)-diabetic rats. We will administer 150 mg/kg orally for 28 days, measure primary efficacy as time to stable arterial occlusion in the FeCl3 carotid model (chemical injury thrombosis), and assess a prespecified immunology pharmacodynamic (PD) marker: plasma citrullinated histone H3 (citH3; a NET marker). Secondary readouts include D-dimer, MPO-DNA complexes, cfDNA, platelet function assays, thromboelastography, histologic thrombus burden, and targeted phytochemical PK. Main contributions are: (1) a standardized pre-analytic and QA pipeline for thromboinflammatory assays, (2) integrated PK/PD linking plant markers to functional thrombotic endpoints, and (3) a blinded, sex‑balanced efficacy test with independent replication. Expected outcome: reproducible evidence for or against meaningful anti-thromboinflammatory activity of the triherbal blend and quantified exposure-response relationships to inform translational decisions.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Study design: randomized, blinded, sex-balanced in vivo study with STZ-induced diabetic rats and non-diabetic controls. STZ induction: single 45 mg/kg IP (example); confirm diabetes as fasting glucose &gt;=250 mg/dL at 48-72 h; define nonresponders as fasting glucose &lt;200 mg/dL at 2 weeks and handle per SAP. Groups (per site): 1) non-diabetic vehicle (n=12 males,12 females); 2) diabetic vehicle (n=12M,12F); 3) diabetic + blended extract 150 mg/kg PO (n=12M,12F); 4-6) diabetic + individual extracts (Moringa, Ocimum, Vernonia each 150 mg/kg) (n=12M,12F each); 7) diabetic + positive control antiplatelet (e.g., low-dose aspirin) (n=12M,12F); 8) vehicle-validation pilot (n=6) with excipient arms. Independent replication: separate site n=12/sex/group for blended vs diabetic vehicle only. Primary endpoint: time to stable arterial occlusion in FeCl3 carotid injury (FeCl3 model: chemical injury that induces thrombosis; measure occlusion time in seconds). Primary analysis: Kaplan-Meier and log-rank; Cox model stratified by sex and baseline fasting glucose covariate; report median occlusion times, hazard ratio (HR), 95% CI, and p-value. Primary effect threshold: &gt;=25% prolongation vs diabetic vehicle. Secondary endpoints and assays: - Plasma citH3 (primary PD): change at steady-state Tmax vs baseline, reported as percent change and absolute concentration (pg/mL). citH3 is citrullinated histone H3, a blood marker for NETs. - D-dimer, fibrinogen, TAT, vWF, cfDNA, MPO-DNA by validated immunoassays or ELISA. - Platelet function: light transmission aggregometry (ADP, collagen), flow cytometry for P-selectin and platelet-leukocyte aggregates. - Global coagulation: TEG/ROTEM on citrated blood. - Histology/IHC: thrombus presence, percent luminal occlusion, fibrin area, H3Cit and MPO IHC quantified by digital pathology. - PK: LC-MS/MS assays for 2-3 validated marker phytochemicals, LLOQ &lt;=10 ng/mL, sparse microsampling (~6 samples/rat, 50-60 uL each), paired PD draws at baseline, steady-state trough, Tmax, and 1-3 h post-injury. Evaluation metrics: primary: median occlusion time and HR; secondary: percent change and absolute change in biomarkers, aggregation AUC, TEG R/MA parameters, histology scores (0-4) and composite thromboinflammation score. Statistical plan: pre-specified SAP with hierarchical testing: primary endpoint first (alpha=0.05); if significant, test key secondary family (citH3, D-dimer, platelet aggregation, MPO-DNA, vWF) with Holm-Bonferroni; exploratory panels controlled by Benjamini-Hochberg FDR. Longitudinal continuous data: linear mixed-effects models with fixed effects (treatment, time, sex) and random intercepts for animal; report estimated treatment effects and 95% CIs. Handling missing data: mixed-effects under MAR and multiple imputation sensitivity analyses; STZ nonresponders prespecified as excluded from primary efficacy or analyzed separately per SAP. Comparisons/ablations: 1) blended extract vs each single-herb group to test synergy (blended vs best single herb). 2) blended extract vs positive control (aspirin). 3) vehicle-excipient pilot to rule out confounding vehicle effects. 4) ablation of PK/PD linking: repeat primary analysis without PK-adjustment vs with AUC as covariate to quantify PK contribution. Power and sample size: default n=24/group (12M,12F) for primary endpoint to detect &gt;=25% prolongation assuming pilot variance; SAP will include explicit numerical assumptions and any re-estimation rules. Data capture: record sex, age (weeks), strain/source, cage ID, diet batch, light cycle, enrichment, extract batch/voucher ID. Assay QA: all assays run with positive/negative controls, QC samples, and blinded analysts. Replication: independent blinded replication at second site for blended vs diabetic vehicle.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variable extract chemical composition between batches causing inconsistent pharmacology; LC-MS/MS inability to reach required LLOQ for low-abundance markers; poor metabolite identification limiting PK/PD linking; assay variability for NET markers (citH3, MPO-DNA) if pre-analytics are not exact. Biological risks: incomplete diabetes induction (STZ nonresponders), sex-specific effects reducing power in subgroup analyses, analgesic regimens altering thromboinflammatory readouts. Data and evaluation biases: measurement bias from inconsistent sample handling, observer bias if blinding breaks, and multiplicity issues across many biomarkers. Scalability and resource limits: high animal numbers and complex PK/omics increase cost and processing burden; requirement for specialized equipment (TEG/ROTEM, UPLC-QToF, histology imaging) may limit replication. Translational limits: rat findings may not predict human efficacy due to species differences in metabolism and coagulation; exposure scaling (IVIVE/PBPK) may be uncertain if major active metabolites are unidentified. Ethical/welfare constraints: blood microsampling volume limits and humane endpoint triggers can reduce available longitudinal samples. Generalization: results apply to this specific extract preparation, dose, and STZ model and may not generalize to other preparations, doses, routes, or human diabetic phenotypes.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