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fcm_trust_cds_covid19</w:t>
      </w:r>
    </w:p>
    <w:p>
      <w:r>
        <w:t xml:space="preserve"> </w:t>
      </w:r>
    </w:p>
    <w:p>
      <w:pPr>
        <w:pStyle w:val="Heading2"/>
      </w:pPr>
      <w:r>
        <w:t>Title</w:t>
      </w:r>
    </w:p>
    <w:p>
      <w:r>
        <w:t>Quantifying clinicians' perceived trust in interpretable COVID-19 clinical decision support using fuzzy cognitive maps</w:t>
      </w:r>
    </w:p>
    <w:p>
      <w:r>
        <w:t xml:space="preserve"> </w:t>
      </w:r>
    </w:p>
    <w:p>
      <w:pPr>
        <w:pStyle w:val="Heading2"/>
      </w:pPr>
      <w:r>
        <w:t>Short Hypothesis</w:t>
      </w:r>
    </w:p>
    <w:p>
      <w:r>
        <w:t>Higher quantified agreement between a clinician's fuzzy cognitive map (FCM) and a model's explanation causally increases the clinician's probability of accepting the clinical decision support recommendation.</w:t>
      </w:r>
    </w:p>
    <w:p>
      <w:r>
        <w:t xml:space="preserve"> </w:t>
      </w:r>
    </w:p>
    <w:p>
      <w:pPr>
        <w:pStyle w:val="Heading2"/>
      </w:pPr>
      <w:r>
        <w:t>Related Work</w:t>
      </w:r>
    </w:p>
    <w:p>
      <w:r>
        <w:t>Prior work has measured clinician trust in interpretable clinical decision support using surveys, think-aloud protocols, and single-feature attribution fidelity (measures comparing model internals to presented explanations). Other approaches use feature attributions, saliency maps, or counterfactuals to explain predictions, and some studies evaluate behavior change after showing explanations. Limitations: many studies rely on self-report only and do not elicit structured mental models; fidelity is often a single metric (e.g., cosine similarity) that ignores rank, sign, or perturbation effects; methods typically do not handle mismatched feature sets across explainers; few link quantified perceived trust to actual acceptance/override behavior; and cross-site data harmonization, privacy-preserving sharing, and operational thresholds are rarely pre-specified. These gaps limit causal inference and reproducibility of trust-to-behavior claims.</w:t>
      </w:r>
    </w:p>
    <w:p>
      <w:r>
        <w:t xml:space="preserve"> </w:t>
      </w:r>
    </w:p>
    <w:p>
      <w:pPr>
        <w:pStyle w:val="Heading2"/>
      </w:pPr>
      <w:r>
        <w:t>Abstract</w:t>
      </w:r>
    </w:p>
    <w:p>
      <w:r>
        <w:t>We address the problem of measuring and validating clinicians' perceived trust in interpretable machine-learning clinical decision support for COVID-19 diagnosis. We propose eliciting clinicians' trust mental models using fuzzy cognitive maps (FCMs), which are simple directed graphs where nodes represent clinical concepts and edge weights represent perceived causal influence. We quantify agreement between an FCM and a model explanation through a degree-of-agreement metric and a composite fidelity suite (including cosine similarity, rank correlation, sign-agreement, perturbation fidelity, and localized AUPRC). The main contribution is a reproducible pipeline that (1) elicits FCMs, (2) computes multiple fidelity measures and a combined agreement score, and (3) tests whether agreement predicts clinician acceptance decisions and decision latency. Expected outcome: a validated, quantitative mapping from perceived trust to clinician behavior with pre-specified operating thresholds and psychometric properties for the trust instrument, enabling preregistered, audit-ready evaluation of interpretable CDS prototypes.</w:t>
      </w:r>
    </w:p>
    <w:p>
      <w:r>
        <w:t xml:space="preserve"> </w:t>
      </w:r>
    </w:p>
    <w:p>
      <w:pPr>
        <w:pStyle w:val="Heading2"/>
      </w:pPr>
      <w:r>
        <w:t>Experiments</w:t>
      </w:r>
    </w:p>
    <w:p>
      <w:r>
        <w:t>Datasets: (a) Vignette dataset: 1,600 simulated COVID-19 cases (8 cases × 200 clinicians) with controlled features and timestamps. (b) EHR pilot: de-identified COVID-19 encounters from 3 sites mapped to OMOP/FHIR, target N=5,000 encounters for model inputs and outcomes. (c) Annotation set: 300–500 clinician FCMs for psychometric analysis. Baselines: (1) no explanation, (2) standard feature-attribution explanation (saliency) without FCM elicitation, (3) FCM elicitation with single fidelity metric (cosine) only. Evaluation metrics: primary behavioral endpoint = acceptance rate (binary accept vs override); secondary endpoints = time_to_decision (ms), clinician_plausibility_rating (1–5), override_rate, safety endpoints (delayed antibiotics &gt;3h, missed sepsis within 48h, AKI progression within 48h), psychometrics (Cronbach's alpha or Omega for reliability; CFA fit indices: CFI, TLI, RMSEA), and fidelity metrics (cosine similarity; Spearman rank correlation for rank agreement; sign-agreement fraction; perturbation fidelity = change in model output when top-k features are perturbed; localized AUPRC for identifying truly influential features). Experimental setup: randomized within-subject Latin-square of explanation modalities; washout: vignettes 10 minutes+task, EHR exposures 48 hours between same clinician/modality; sample sizes: behavioral trial 200 clinicians × ~8 cases each; psychometric validation 300–500 clinician responses. Data handling: compute fidelity metrics server-side; when feature sets differ, use intersection mapping with documented imputation and semantic alignment; generate null fidelity distributions via 10,000 label permutations per use case for calibration. Analyses: mixed-effects logistic regression for acceptance with clinician random intercepts, fixed effects for fidelity and modality; predeclare primary estimand = ITT (intent-to-treat) for randomized modalities and CACE (complier average causal effect) as secondary with two-stage methods when noncompliance occurs; multiplicity control via hierarchical testing (primary behavioral endpoint first, then secondary endpoints). Ablations: (A) remove FCM elicitation; (B) use cosine-only fidelity vs composite fidelity; (C) vary conflict thresholds (e.g., high ≥0.8 vs 0.85) and report operating characteristics. Reproducibility: publish code for FCM elicitation, fidelity calculations, permutation nulls, and mixed-model scripts.</w:t>
      </w:r>
    </w:p>
    <w:p>
      <w:r>
        <w:t xml:space="preserve"> </w:t>
      </w:r>
    </w:p>
    <w:p>
      <w:pPr>
        <w:pStyle w:val="Heading2"/>
      </w:pPr>
      <w:r>
        <w:t>Risk Factors And Limitations</w:t>
      </w:r>
    </w:p>
    <w:p>
      <w:r>
        <w:t>Technical failure modes: explainers may produce attributions with different feature sets or meanings, making fidelity comparisons invalid; null-distribution permutations are compute-intensive and may not scale. Data and evaluation bias: clinician samples may not represent broader populations; EHR data may contain coding or measurement biases that affect both model and clinician judgments. Psychometric limits: trust instrument may not reach invariance across specialties or sites, limiting pooled analyses. Privacy and DP limits: chosen differential privacy parameters may reduce utility for key analyses. Operational risks: false alarms from conflict flags can overload adjudicators and cause alert fatigue. Causal identification limits: residual confounding or noncompliance may impede causal claims; IV assumptions for encouragement designs may be violated. Generalization limits: results focused on COVID-19 diagnosis may not transfer to other clinical domains. Security risks: improper key management for hashed IDs could enable re-identification under breach.</w:t>
      </w:r>
    </w:p>
    <w:p>
      <w:r>
        <w:t xml:space="preserve"> </w:t>
      </w:r>
    </w:p>
    <w:p>
      <w:pPr>
        <w:pStyle w:val="Heading2"/>
      </w:pPr>
      <w:r>
        <w:t>Note</w:t>
      </w:r>
    </w:p>
    <w:p>
      <w:r>
        <w:t>FCM (fuzzy cognitive map) is a simple graph where nodes are concepts and edge weights show perceived influence; cosine similarity measures angle between two vectors (0 to 1 here) to quantify alignment; perturbation fidelity measures how much a model's output changes when influential features are altered.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