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pos_anomaly_detection</w:t>
      </w:r>
    </w:p>
    <w:p>
      <w:r>
        <w:t xml:space="preserve"> </w:t>
      </w:r>
    </w:p>
    <w:p>
      <w:pPr>
        <w:pStyle w:val="Heading2"/>
      </w:pPr>
      <w:r>
        <w:t>Title</w:t>
      </w:r>
    </w:p>
    <w:p>
      <w:r>
        <w:t>Statistical anomaly detection on POS-tagged corpora to identify annotation errors</w:t>
      </w:r>
    </w:p>
    <w:p>
      <w:r>
        <w:t xml:space="preserve"> </w:t>
      </w:r>
    </w:p>
    <w:p>
      <w:pPr>
        <w:pStyle w:val="Heading2"/>
      </w:pPr>
      <w:r>
        <w:t>Short Hypothesis</w:t>
      </w:r>
    </w:p>
    <w:p>
      <w:r>
        <w:t>Fitting a probability model over part-of-speech (POS) tagged corpus elements and flagging low-likelihood elements as anomalies will detect annotation errors such that, on a held-out natural-only Penn Treebank test set, per-class ROC-AUC is at least 0.75 and precision@50 is at least 0.60 for high-severity error classes.</w:t>
      </w:r>
    </w:p>
    <w:p>
      <w:r>
        <w:t xml:space="preserve"> </w:t>
      </w:r>
    </w:p>
    <w:p>
      <w:pPr>
        <w:pStyle w:val="Heading2"/>
      </w:pPr>
      <w:r>
        <w:t>Related Work</w:t>
      </w:r>
    </w:p>
    <w:p>
      <w:r>
        <w:t>Prior work applies unsupervised anomaly detection (for example Isolation Forest, one-class SVM, and autoencoders) to find outliers in structured or tabular data. Density estimation and distance-based methods (kNN, Mahalanobis) have been used to score how unusual an example is compared to in-domain data. Supervised approaches train classifiers on labeled errors using pretrained language model embeddings with small task heads. Calibration methods such as temperature scaling and isotonic regression are used to make predicted probabilities more reliable. Synthetic error injection has been used to increase rare error coverage, and privacy-preserving techniques are studied in health data pipelines. Weaknesses remain: unsupervised methods often miss subtle semantic or provenance errors; supervised models need many labeled positives for rare classes; per-class calibration requires enough validation positives and is unstable under class imbalance; synthetic injectors vary in realism and risk introducing PII; explainability and operational cost integration (detection cost tied to human review) are not consistently handled.</w:t>
      </w:r>
    </w:p>
    <w:p>
      <w:r>
        <w:t xml:space="preserve"> </w:t>
      </w:r>
    </w:p>
    <w:p>
      <w:pPr>
        <w:pStyle w:val="Heading2"/>
      </w:pPr>
      <w:r>
        <w:t>Abstract</w:t>
      </w:r>
    </w:p>
    <w:p>
      <w:r>
        <w:t>We propose a reproducible pipeline that fits probability distributions over POS-tagged corpus elements and uses anomaly scoring to surface likely annotation errors. The approach combines handcrafted syntactic, semantic, orthographic, embedding-density and provenance features with unsupervised density or isolation-based detectors and a lightweight supervised multi-head classifier on pretrained language model embeddings. We integrate calibration (global temperature scaling and per-class isotonic regression when valid) and an Expected Detection Cost (EDC) that weights false negatives and false positives by severity to prioritize high-risk errors such as PII leakage and clinical/financial misadvice. Synthetic error injections are measured by edit-distance, n-gram KL, and embedding-space Wasserstein distance to match natural error realism while preserving privacy via deterministic one-way ID generation. Expected outcomes are a reproducible evaluation harness, quantified detection performance for severe classes, and robustness certificates under defined adversarial perturbations.</w:t>
      </w:r>
    </w:p>
    <w:p>
      <w:r>
        <w:t xml:space="preserve"> </w:t>
      </w:r>
    </w:p>
    <w:p>
      <w:pPr>
        <w:pStyle w:val="Heading2"/>
      </w:pPr>
      <w:r>
        <w:t>Experiments</w:t>
      </w:r>
    </w:p>
    <w:p>
      <w:r>
        <w:t>Datasets: primary natural dataset is the Penn Treebank POS-tagged corpus. Supplement with a small, deidentified clinical corpus (for example MIMIC-derived deidentified notes) and a synthetic financial text set for domain checks, each in English and with provenance metadata. Pilot annotation: 400-record pilot with 200 natural and 200 synthetic as seeded examples. Splits: provenance- and time-stratified 70% train, 15% validation, 15% test with test restricted to natural-only. Fixed random seeds and DVC snapshot for reproducibility. Baselines: (A) Isolation Forest on handcrafted feature vectors (POS n-grams, parse depth, char n-grams, LM surprisal, provenance deltas, Mahalanobis/kNN distances). (B) Supervised lightweight multi-head classifier using pretrained LM embeddings (e.g., RoBERTa or domain LM like BioClinicalBERT/FinBERT) with small MLP heads per error family. Additional detectors: reconstruction autoencoder and density estimators (Gaussian mixture or normalizing flow) on embeddings. Metrics: per-type ROC-AUC (area under ROC curve, measures ranking quality), PR-AUC (precision-recall area), precision@k with k=50, expected calibration error (ECE), Brier score, and Expected Detection Cost (EDC). EDC definition: EDC = (1/N) * sum_c [w_c * (FN_c * cost_FN_c + FP_c * cost_FP_c)] with severity weights w_c and costs derived below. Severity weights: PII leak=10, clinical/financial severe=9, provenance severe=7, OCR severe=5, syntactic minor=2. Cost rule: cost_FN = 10 * w_c, cost_FP = 1 * w_c, so PII FN cost = 100, FP cost = 10. Acceptance gates: per-type ROC-AUC &gt;= 0.75 AND precision@50 &gt;= 0.60 for high-severity classes OR aggregate EDC reduction &gt;= 20% vs baseline. Sample-size and power: run a parameterized sample-size sweep with bootstrap (1000 resamples) that outputs required N for target CI half-widths for ROC-AUC and precision@50 for given class prevalence. Pilot guidance: require &gt;=250 validation positives per class to compute per-class isotonic regression; if fewer, use global temperature scaling or pooled isotonic calibration. Ablations: (1) drop syntactic features, (2) drop semantic/L M surprisal features, (3) drop embedding/density features, (4) drop provenance features, (5) calibration ablation: temperature only vs per-class isotonic vs no calibration. Robustness tests: scripted semantic swaps (numeric magnitude and role swaps), provenance falsification (timestamp shifts, source_id swaps), OCR/obfuscation (confusable glyphs, 1-3 char deletions, optional back-translation). Statistical evaluation: 1000 bootstrap resamples for 95% CIs, paired-bootstrap for degradation comparisons, McNemar test for paired binary change, permutation tests for distribution shift. Synthetic injector acceptance: median token edit-distance within +/-20% of natural errors, char/word n-gram KL &lt; 0.5, embedding-space Wasserstein &lt; 0.1. Compute and infra: precompute Parquet feature vectors, run main training on 1 GPU with ~40 GPU-hours budget per full sweep, and store artifacts under DVC. Reproducibility: fixed seeds, containerized jobs, MLflow tracking, and scripted CI that reproduces core metrics and checksums.</w:t>
      </w:r>
    </w:p>
    <w:p>
      <w:r>
        <w:t xml:space="preserve"> </w:t>
      </w:r>
    </w:p>
    <w:p>
      <w:pPr>
        <w:pStyle w:val="Heading2"/>
      </w:pPr>
      <w:r>
        <w:t>Risk Factors And Limitations</w:t>
      </w:r>
    </w:p>
    <w:p>
      <w:r>
        <w:t>Technical failure modes: detectors may miss subtle semantic or provenance errors that do not change surface features; supervised heads can overfit when positive examples per class are scarce. Calibration limits: per-class isotonic regression is unstable with small validation positives and can produce non-monotonic mappings under noise. Synthetic data risks: injector may fail to match natural error realism or may inadvertently create PII-like artifacts despite sanitization. Statistical/evaluation bias: synthetic augmentations can distort metric estimates if included in validation or test splits. Scalability and compute: embedding-based density estimators and large LM embedding extraction require GPU time and storage; full-domain scaling will raise costs. Generalization limits: models trained on Penn Treebank and injected synthetics may not transfer to other text genres, dialects, or languages. Annotation and label noise: human adjudication is subjective for borderline cases, producing label noise that harms learning. Explainability limits: saliency or exemplar outputs may be low-fidelity and mislead reviewers. Regulatory and privacy constraints: access to real clinical or financial corpora may be restricted, limiting natural positive sample collection for high-severity classes.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