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probabilistic_smooth_attention_mil</w:t>
      </w:r>
    </w:p>
    <w:p>
      <w:r>
        <w:t xml:space="preserve"> </w:t>
      </w:r>
    </w:p>
    <w:p>
      <w:pPr>
        <w:pStyle w:val="Heading2"/>
      </w:pPr>
      <w:r>
        <w:t>Title</w:t>
      </w:r>
    </w:p>
    <w:p>
      <w:r>
        <w:t>Probabilistic smooth attention with scalable spatial priors for deep multiple instance learning on whole-slide and CT medical images</w:t>
      </w:r>
    </w:p>
    <w:p>
      <w:r>
        <w:t xml:space="preserve"> </w:t>
      </w:r>
    </w:p>
    <w:p>
      <w:pPr>
        <w:pStyle w:val="Heading2"/>
      </w:pPr>
      <w:r>
        <w:t>Short Hypothesis</w:t>
      </w:r>
    </w:p>
    <w:p>
      <w:r>
        <w:t>Modeling attention logits as a probabilistic latent field that encodes both local and long-range spatial interactions will increase bag-level discrimination, improve localization accuracy, and produce better-calibrated uncertainty estimates than deterministic attention in deep MIL on medical images.</w:t>
      </w:r>
    </w:p>
    <w:p>
      <w:r>
        <w:t xml:space="preserve"> </w:t>
      </w:r>
    </w:p>
    <w:p>
      <w:pPr>
        <w:pStyle w:val="Heading2"/>
      </w:pPr>
      <w:r>
        <w:t>Related Work</w:t>
      </w:r>
    </w:p>
    <w:p>
      <w:r>
        <w:t>Existing MIL methods for medical imaging use deterministic attention, max-pooling, or noisy-OR aggregation to score bags of patches; these approaches often ignore explicit spatial relations between patches and do not provide principled uncertainty. Recent work has introduced attention mechanisms that weight instance contributions and some probabilistic approaches that model uncertainty in attention, but they typically scale poorly or omit spatial smoothness. Gaussian process (GP) priors and structured kernels capture spatial correlation but are expensive at large patch counts; scalable approximations include sparse variational GP (SVGP), KISS-GP (grid interpolation), and Nyström/low-rank methods, each trading accuracy for compute. Local pairwise smoothness and total variation (TV) regularizers enforce neighborhood coherence cheaply but cannot capture long-range dependencies. Limitations across prior methods are: poor scalability to whole-slide image (WSI) scales, weak integration of local and global spatial structure, limited numerical-stability detail for kernel linear algebra, susceptibility to posterior collapse or miscalibration, and lack of standardized statistical protocols for uncertainty and localization evaluation.</w:t>
      </w:r>
    </w:p>
    <w:p>
      <w:r>
        <w:t xml:space="preserve"> </w:t>
      </w:r>
    </w:p>
    <w:p>
      <w:pPr>
        <w:pStyle w:val="Heading2"/>
      </w:pPr>
      <w:r>
        <w:t>Abstract</w:t>
      </w:r>
    </w:p>
    <w:p>
      <w:r>
        <w:t>We present a probabilistic smooth attention framework for deep multiple instance learning (MIL) that models a distribution over attention logits and encodes both local and global spatial interactions for medical imaging tasks. Attention logits are treated as a latent field with a spatial prior: scalable GP approximations (SVGP, KISS-GP, Nyström) capture long-range correlations while an automated linear-cost pairwise smoothness + TV fallback preserves local coherence when compute limits are reached. The model produces per-instance attention means and uncertainties that map to interpretable attention heatmaps. Main contributions are: (1) a unified probabilistic attention layer combining GP-based global structure and local sparse pairwise priors, (2) calibrated uncertainty outputs for bag- and instance-level prediction, and (3) a reproducible compute and evaluation protocol that includes gating for scalable GP fallbacks, analytic KL terms, and statistical tests for bag-level discrimination and localization. Expected outcomes are improved AUC and localization metrics with reliable uncertainty estimates on WSI and CT benchmarks, enabling more interpretable and robust MIL for clinical research.</w:t>
      </w:r>
    </w:p>
    <w:p>
      <w:r>
        <w:t xml:space="preserve"> </w:t>
      </w:r>
    </w:p>
    <w:p>
      <w:pPr>
        <w:pStyle w:val="Heading2"/>
      </w:pPr>
      <w:r>
        <w:t>Experiments</w:t>
      </w:r>
    </w:p>
    <w:p>
      <w:r>
        <w:t>Datasets: CAMELYON16 and CAMELYON17 WSIs for metastasis detection; TCGA histology cohorts for tissue classification; a multi-center internal WSI cohort (&gt;=3 centers) with scanner/site metadata; optional CT patch dataset for a non-WSI modality. Preprocessing: extract patches (tile size e.g., 256 px), store Zarr with spatial coordinates, compute pretrained encoder features (ResNet or ViT backbone). Baselines: deterministic attention-MIL, max-pooling MIL, Noisy-OR, probabilistic attention without spatial prior, pairwise quadratic smoothness + TV (linear fallback), SVGP-based attention, KISS-GP-based attention, Nyström low-rank attention. Metrics: bag-level ROC AUC, PR AUC, sensitivity at fixed specificity (0.90 and 0.85), negative log-likelihood (NLL), calibration (ECE, Brier), uncertainty: posterior predictive entropy and 95% interval coverage, localization: IoU and Dice against expert ROIs and pointing-game accuracy, robustness: cross-center degradation and OOD detection AUROC. Training setup: patches per bag P in {256,512}, batch B tuned to GPU memory, pretrained encoder frozen for first 5 epochs then fine-tuned; optimizer AdamW (lr encoder 1e-4–5e-4, attention head 1e-3), linear β warmup to β_final=0.5 over 30 epochs, gradient clipping norm 1.0, mixed precision DDP. GP variants: test inducing points M in {256,512,1024}, Nyström ranks R in {256,512}, KISS grid spacing ≈ tile spacing; fallback triggered when kernel_bytes &gt; 32GB or M&gt;1024. Statistical protocol: paired DeLong tests for AUC, bootstrap CIs (1000 resamples) for metrics, hierarchical bootstrap across centers for multi-center inference, Benjamini–Hochberg FDR control across ablations. Ablations: (A) posterior family: logit-normal vs Gaussian; (B) spatial prior: GP vs pairwise-only; (C) GP approximation: SVGP vs KISS vs Nyström; (D) M/R scaling and gate thresholds; (E) sampling curriculum: random vs stratified top-k+hard-mining. Evaluation splits: stratified train/val/test by center and patient, hold out annotated slides for localization. Report runtimes, memory, gate logs, and MC variance of KL per epoch. Statistical significance threshold α=0.05.</w:t>
      </w:r>
    </w:p>
    <w:p>
      <w:r>
        <w:t xml:space="preserve"> </w:t>
      </w:r>
    </w:p>
    <w:p>
      <w:pPr>
        <w:pStyle w:val="Heading2"/>
      </w:pPr>
      <w:r>
        <w:t>Risk Factors And Limitations</w:t>
      </w:r>
    </w:p>
    <w:p>
      <w:r>
        <w:t>Scalability: GP approximations may still be infeasible on very large slides; fallback reduces expressivity. Numerical linear algebra: computing K^{-1}v and log|K| can be unstable for near-singular kernels or extreme lengthscales; methods like Cholesky with jitter, conjugate gradients, Lanczos log-det approximations are required but add complexity. Posterior collapse: the latent attention posterior can collapse to deterministic behavior, reducing uncertainty usefulness. Calibration risk: predicted uncertainties may be miscalibrated across centers or scanners. Data limitations: sparse or imprecise ROI annotations limit localization evaluation and bias estimates. Domain shift: performance may degrade with unseen sites, stains, or scanners. Compute cost: multi-node A100-class resources and long HPO runs are expensive. Statistical limits: small test sets reduce power to detect modest AUC or localization improvements. Regulatory/ethical constraints: patient consent and data-use agreements can limit dataset pooling. Implementation complexity: integrated GP modes, gate calibration, and robust unit tests require significant engineering effort and careful numerical testing.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