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hierarchical_occlusion_xai_mri</w:t>
      </w:r>
    </w:p>
    <w:p>
      <w:r>
        <w:t xml:space="preserve"> </w:t>
      </w:r>
    </w:p>
    <w:p>
      <w:pPr>
        <w:pStyle w:val="Heading2"/>
      </w:pPr>
      <w:r>
        <w:t>Title</w:t>
      </w:r>
    </w:p>
    <w:p>
      <w:r>
        <w:t>Hierarchical occlusion and ensemble explainability for MRI diagnostic support in distal myopathies</w:t>
      </w:r>
    </w:p>
    <w:p>
      <w:r>
        <w:t xml:space="preserve"> </w:t>
      </w:r>
    </w:p>
    <w:p>
      <w:pPr>
        <w:pStyle w:val="Heading2"/>
      </w:pPr>
      <w:r>
        <w:t>Short Hypothesis</w:t>
      </w:r>
    </w:p>
    <w:p>
      <w:r>
        <w:t>Providing clinicians with hierarchical-occlusion maps combined in an ensemble of explainability methods for an MRI diagnostic model will increase lesion-wise sensitivity at a fixed false-positive rate and reduce incorrect management changes attributable to AI compared with providing model predictions alone.</w:t>
      </w:r>
    </w:p>
    <w:p>
      <w:r>
        <w:t xml:space="preserve"> </w:t>
      </w:r>
    </w:p>
    <w:p>
      <w:pPr>
        <w:pStyle w:val="Heading2"/>
      </w:pPr>
      <w:r>
        <w:t>Related Work</w:t>
      </w:r>
    </w:p>
    <w:p>
      <w:r>
        <w:t>Prior work applies explainable AI (XAI) to medical MRI using saliency maps (pixel-level heatmaps), concept-based explanations (higher-level clinical concepts), and perturbation tests (e.g., occlusion) to show which image regions influence model outputs. Ensembles of explainers and concept bottleneck models have been proposed to improve robustness. Reported weaknesses include: (1) limited clinician-centered evaluation — many methods are validated only by numeric scores, not by radiologist feedback; (2) unstable explanations under small input or acquisition changes (low stability); (3) attribution that reflects scanner or protocol artifacts rather than biology because physics effects are not accounted for; (4) lack of stratified thresholds by lesion size, contrast, or clinical-impact tier; (5) sparse out-of-distribution (OOD) and adversarial testing beyond simple attacks; and (6) few studies mapping XAI metrics to regulatory or clinical decision endpoints. These gaps reduce trust and hinder deployment in clinical and regulated settings.</w:t>
      </w:r>
    </w:p>
    <w:p>
      <w:r>
        <w:t xml:space="preserve"> </w:t>
      </w:r>
    </w:p>
    <w:p>
      <w:pPr>
        <w:pStyle w:val="Heading2"/>
      </w:pPr>
      <w:r>
        <w:t>Abstract</w:t>
      </w:r>
    </w:p>
    <w:p>
      <w:r>
        <w:t>We address the need for clinically useful and auditable explanations from MRI diagnostic models for distal myopathies. We propose applying multiple XAI methods to a trained MRI classifier/segmenter, introducing a hierarchical occlusion technique that perturbs image regions at nested scales (small to large) to reveal causal contributions, and combining individual explanations via an ensemble framework to produce clinician-oriented visualizations. We validate explanations quantitatively using fidelity (IoU, AUPRC), insertion/deletion causal tests, and stability under acquisition-like perturbations, and qualitatively via blinded radiologist usability studies in a within-reader crossover. We incorporate physics-informed weighting that accounts for coil sensitivity and protocol differences to reduce scanner-driven attributions. Main contributions are: (1) a hierarchical occlusion method for multiscale causal saliency, (2) an ensemble of explainers with physics weighting, and (3) an evaluation linking saliency fidelity to lesion detection, management-change, and workflow metrics with radiologist feedback and regulatory-aligned thresholds. Expected outcomes are improved clinician trust, measurable gains in lesion-wise sensitivity, and an auditable evidence package for clinical validation.</w:t>
      </w:r>
    </w:p>
    <w:p>
      <w:r>
        <w:t xml:space="preserve"> </w:t>
      </w:r>
    </w:p>
    <w:p>
      <w:pPr>
        <w:pStyle w:val="Heading2"/>
      </w:pPr>
      <w:r>
        <w:t>Experiments</w:t>
      </w:r>
    </w:p>
    <w:p>
      <w:r>
        <w:t>Datasets: (a) internal multicenter MRI cohort for distal myopathies with at least 330 cases (~400 lesions) for primary endpoint; (b) external held-out testbed from 2 reserved sites and additional 8 sites (10-site total) for generalization; (c) synthetic perturbation set using TorchIO/SimpleITK with injected lesions (lesion prevalence sweep 1–50%, sizes ~10–10,000 voxels) and acquisition perturbations (motion, SNR, coil sensitivity); (d) OOD/adversarial sets including post-surgical cavities, implants, severe motion, vendor/protocol shifts, and adaptive attacks (FGSM, PGD). Baselines: (1) no AI (reader alone), (2) AI prediction only (probability + bounding box/segment), (3) AI + standard saliency overlay (e.g., Grad-CAM), (4) AI + hierarchical occlusion only, (5) AI + hierarchical occlusion + ensemble explainers + physics-weighting (proposed). Evaluation metrics: lesion-wise sensitivity at fixed false-positive rate, per-case reading time (seconds), segmentation Dice and volumetric error, saliency IoU (intersection-over-union), saliency AUPRC (area under precision-recall), insertion/deletion effect size (change in model output when masked regions are inserted/removed), stability metric (e.g., correlation or SSIM between maps under perturbations), expected calibration error (ECE), automation-bias rate (percent incorrect clinician adoption of wrong AI suggestions), OOD detector AUROC/TPR/FPR. Experimental setup: within-reader counterbalanced crossover with four conditions per case (no AI, AI only, AI+saliency, AI+saliency+concepts+uncertainty), washout and alternate forms; ~22 readers ×100 paired cases for reading-time endpoints; ~330 cases (~400 lesions) for sensitivity endpoint; ~1,000 cases for management-change power if available. Statistical analysis: mixed-effects models (endpoint ~ condition + (1|reader) + (1|case) + scanner + case_difficulty) and hierarchical testing with FDR for secondaries. Ablations and comparisons: (A) hierarchical occlusion vs single-scale occlusion vs gradient-based saliency; (B) ensemble of explainers vs single explainer; (C) physics-weighted attributions vs unweighted; (D) with vs without concept-activation overlays. Report per-stratum results by lesion size (small &lt;100 voxels, medium 100–1000, large &gt;1000), sequence/contrast, and clinical-impact tier. Pre-register sample-size tables and analysis scripts; provide reproducible containers and exact commands to run experiments.</w:t>
      </w:r>
    </w:p>
    <w:p>
      <w:r>
        <w:t xml:space="preserve"> </w:t>
      </w:r>
    </w:p>
    <w:p>
      <w:pPr>
        <w:pStyle w:val="Heading2"/>
      </w:pPr>
      <w:r>
        <w:t>Risk Factors And Limitations</w:t>
      </w:r>
    </w:p>
    <w:p>
      <w:r>
        <w:t>Annotation and ground-truth limits: inter-reader variability (low IRR) or absent pathology/longitudinal confirmation may bias performance estimates. Stratification limits: small lesions and low-contrast sequences may yield poor saliency fidelity and low sensitivity. Physics confounds: residual scanner/protocol artifacts may still drive attributions despite weighting, limiting generalization across vendors and field strengths. OOD and adversarial threats: adaptive attacks or rare clinical variants may produce incorrect explanations or high OOD false negatives. Workflow burden: routing flagged cases to reviewers may create high reviewer-hours if flag rate is high. Compute and storage: ensemble explainers and hierarchical occlusion are compute-intensive (thousands of GPU-hours, large storage), limiting scalability. Statistical power: some secondary endpoints (management-change) require large sample sizes (~1,000 cases) that may be hard to collect. Regulatory and privacy constraints: cross-site data sharing and consent limitations may reduce available data or delay validation. Metric limitations: fidelity scores (IoU, AUPRC, insertion/deletion) do not fully capture clinical usefulness and may not map perfectly to decisions.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