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sasnet_scale_aware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Scale-Aware Adaptive Supervised Network for Semi-supervised Pulmonary Nodule Segmentation with Limited Annotations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dual-branch network that fuses low- and high-level features using scale-aware adaptive reweighting, 3D Fourier-domain view-variance augmentation, and segmentation–regression consistency with signed distance maps will increase small-nodule (≤5 mm) lesion sensitivity by at least 5 percentage points and raise mean Dice by ≥0.03 versus a baseline semi-supervised U-Net when trained with ≤25% dense annotations.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medical image segmentation include fully supervised U-Net variants (encoder-decoder networks that map images to masks), semi-supervised teacher-student or Mean-Teacher methods (use a teacher model to generate pseudo-labels for unlabeled data), multi-scale feature fusion and attention methods (combine information at multiple spatial scales), and use of distance transforms or boundary-aware losses to improve edge accuracy. Practical weaknesses remain: (1) many methods degrade on small lesions because single-scale supervision or naive pseudo-labeling amplifies label noise at small spatial scales; (2) semi-supervised pseudo-label acceptance often ignores scale and temporal confidence, producing unstable supervision; (3) augmentation methods rarely simulate realistic multi-view annotation variance in 3D (most augmentations are spatial or intensity-only), limiting robustness to annotation styles and scanner differences; (4) boundary precision is still limited because segmentation losses alone do not enforce consistent geometric distance structure; and (5) calibration and evaluation are often reported globally (per-scan) rather than stratified by lesion size, masking failures on small nodules. These limitations leave open the need for integrated scale-aware, temporally stable, and geometry-aware semi-supervised frameworks.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semi-supervised pulmonary nodule segmentation when dense annotations are scarce. We propose SASNet, a dual-branch architecture that (1) applies scale-aware adaptive reweighting to combine low- and high-level features and to weight per-voxel supervision using accumulated temporal confidence (temporal confidence = aggregated confidence over training steps), (2) augments unlabeled data with view-variance simulated in the 3D Fourier domain to mimic real annotation and scanner variability (3D Fourier-domain transform = modification of frequency components in 3D volumes to change view-dependent appearance), and (3) enforces segmentation–regression consistency via signed distance maps (signed distance map = per-voxel distance to the nearest boundary, negative inside) to sharpen boundaries. The main contribution is a unified optimization that integrates spatial scale, temporal pseudo-label reliability, and geometric consistency for robust semi-supervised learning with limited masks. We expect SASNet to improve small-nodule sensitivity and boundary accuracy while producing better-calibrated confidences, enabling practical deployment when annotation budgets are constrained.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internal chest CT dataset with annotated nodules (target: 110–130 patients, ≥300 stratified lesions with per-bin targets: &lt;3 mm:100, 3–5 mm:100, 5–8 mm:60, &gt;8 mm:40), plus external holdouts LIDC-IDRI and LUNA16 for domain tests. Preprocessing: resample to isotropic 1×1×1 mm^3; cubic interpolation for intensities, nearest-neighbor for masks. Augmentations: PSF blur σ∈[0.5,1.5] mm, slice-thickness simulation 0.5–3.0 mm, realistic noise. Training splits: label fractions 10%, 25%, 50% dense masks (rest unlabeled); validation 10% patients; test external holdouts. Baselines: (A) supervised U-Net trained on available dense labels; (B) Mean-Teacher semi-supervised U-Net; (C) scale-attention single-branch semi-supervised variant; (D) supervised with scribble and point labels (weakly supervised baselines). SASNet variants: full method; ablations removing (i) scale-aware adaptive reweighting, (ii) 3D Fourier view-variance augmentation, (iii) signed distance map consistency, (iv) pseudo-label pruning. Ablation studies: 1) component ablation as above; 2) voxel-weight mapping sensitivity over α∈{0.5,0.7,0.9} and κ mapping choices; 3) annotation-efficiency study comparing dense masks vs scribbles vs points with equal annotation time budget; 4) synthetic-lesion experiments: train with and without synthetic lesions for underrepresented bins. Loss and hyperparameters: supervised loss = weighted combination of Dice + BCE per voxel where per-voxel weight w_voxel multiplies the loss (w_voxel as defined in protocol); signed distance regression uses L2 loss on signed distance maps; pseudo-label schedule τ_s(epoch) = τ_min + (τ_max−τ_min)*sigmoid((epoch−t0)/k) with default τ_min=0.6, τ_max=0.95, t0=20, k=5. Optimization: AdamW, lr ∈ [1e-4,1e-3], batch size 1–4, EMA teacher decay ∈ [0.995,0.999], mixed precision. Hyperparameter search: multi-fidelity Bayesian optimization, 3 random seeds for each config. Pseudo-label pruning: connected-component V_min per size bin (native mm^3 thresholds: &lt;3mm=2, 3–5mm=10, 5–8mm=50, &gt;8mm=200), closing radius 1–2 mm, retain top-3 components. Evaluation metrics: Dice coefficient (per-patient and lesion-aggregated), IoU, lesion-level sensitivity stratified by size bins, FROC and FP/scan, 95th percentile Hausdorff distance, volumetric bias, ECE (Expected Calibration Error) per size-bin (10 bins). Statistical analysis: clustered patient-level bootstrap (1,000–5,000 resamples) for 95% CIs, mixed-effects logistic regression (random intercepts for patient and reader) for lesion detection; primary success criteria: (A) small-nodule (≤5 mm) sensitivity gain ≥5 percentage points with p&lt;0.05 and (B) mean Dice gain ≥0.03 with 95% bootstrap CI excluding zero. Domain tests: per-vendor fine-tune sets (5–10 cases/site) and measure per-site Dice and sensitivity drops. Reporting: per-bin tables, CI plots, reviewer-workload vs coverage curves for gating thresholds.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pseudo-label confirmation bias where errors are reinforced over training; scale-attention collapse where attention concentrates on large structures and misses small nodules; signed distance regression instability near highly noisy labels. Data and evaluation biases: limited small-nodule prevalence can produce high variance in sensitivity estimates; Cohen’s κ may be biased by prevalence when mapping agreement to weights; double-annotation sparsity (pilot 32 nodules with 25% double annotation) may limit precise σ_label^2 estimates per voxel. Scalability and compute: training the semi-supervised dual-branch EMA pipeline with 3D Fourier augmentations and Bayesian hyperparameter search is compute-intensive (planned ~12,000 GPU-hours); smaller teams may not reproduce full sweeps. Generalization limits: per-site scanner and reconstruction kernel variability can reduce performance despite augmentation; synthetic-lesion insertion risks distributional mismatch, harming real-data performance. Operational risks: gating thresholds (final_conf, scale_conf, entropy) are heuristics initially and may route too many or too few ROIs to human review until validated, affecting workflow. Statistical limits: stratified per-bin inference (especially &lt;3 mm) can be underpowered if lesion counts fall below planned targets; clustered design assumptions require correct ICC estimates for accurate sample-size calibration.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