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cmrxmotion_motion_robust_segmentation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Physics-guided deep learning for robust myocardial segmentation and automated image-quality assessment in cardiac cine MRI under respiratory motion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pipeline that combines physics-guided reconstruction, biomechanically informed synthetic respiratory-motion augmentation, and uncertainty-calibrated deep-learning segmentation will reduce left-ventricular ejection fraction (EF) median absolute error by at least 2% and increase LV segmentation Dice by at least 0.03 on severe respiratory-motion cases, compared to an equivalent model trained without synthetic motion augmentation.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address motion in cardiac cine MRI by (1) model-based low-rank plus sparse or compressed sensing reconstructions (e.g., L+S/XD-GRASP) that reduce some motion blur; (2) joint image-and-deformation optimization that estimates both the image and a deformation field; (3) physics-guided unrolled neural networks that embed the forward MRI model into learned reconstruction steps; and (4) segmentation networks trained on limited motion data or with simple augmentation. Limitations: model-based reconstructions can underperform for large, irregular respiratory motion; joint optimization methods often assume small smooth deformations and lack validated through-plane ground truth; unrolled networks are sensitive to out-of-distribution motion and require large diverse training sets; synthetic augmentation methods often lack quantitative realism validation; and prior work rarely enforces standardized, multi-site evaluation, uncertainty calibration, or privacy-aware data governance.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Respiratory motion during cardiac cine MRI creates severe image artifacts that degrade automated myocardial segmentation and ejection fraction (EF) estimation. We propose a reproducible pipeline that integrates physics-guided image reconstruction (which respects the MRI acquisition model), biomechanically informed synthetic motion augmentation (parameterized deformation fields that simulate realistic breathing), and uncertainty-calibrated deep-learning segmentation to improve robustness across motion grades. The main contribution is a combined reconstruction+augmentation+segmentation framework with quantified synthetic-real realism checks and a rigorous evaluation protocol using multi-site held-out data (including hidden sites/vendors). Expected outcomes are lower EF error and improved segmentation accuracy on motion-corrupted studies, validated with bootstrap confidence intervals and clinical reader acceptability scores. This work aims to provide reproducible baselines, a clearly versioned dataset schema, and objective metrics to benchmark future motion-robust cardiac MRI methods.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use the CMRxMotion controlled-motion dataset (target 1,200–1,600 studies balanced across four motion grades: none/mild/moderate/severe) with a synthetic-to-real pilot of 50–100 paired free-breathing corrupted + breath-hold reference cases. Hold out at least 3 sites and 2 scanner vendors as a hidden test set. Provide per-stratum N &gt;=100 for main comparisons. Baselines: (A) L+S/XD-GRASP reconstruction followed by a segmentation network; (B) joint image+deformation alternating minimization with multi-scale B-splines; (C) physics-guided unrolled reconstruction network plus segmentation head; (D) segmentation-only U-Net trained on breath-hold data. Metrics: primary = EF mean absolute error (MAE); secondary = LV myocardium Dice coefficient; tertiary = motion endpoint error (EPE, mm); additional = SSIM, runtime (s/case), calibration error (difference between predicted and empirical uncertainty). Evaluation protocol: stratified splits by motion grade/site/vendor, bootstrap with 1,000 resamples to derive 95% CIs, composite score weighted 0.5(EF)/0.3(Dice)/0.2(EPE), Wilcoxon signed-rank tests with FDR correction for pairwise comparisons. Experimental setup: train all deep models with Adam lr=1e-4, cosine decay, batch size 1–4, coil compression to 8–12 channels (coils = multiple receiver elements in MRI), NUFFT oversample 1.25 for nonuniform Fourier transforms, mixed precision; expected training 12–48 h per ~1k studies on A100-class GPU. Ablations: (1) with vs without synthetic motion augmentation; (2) 3D volumetric reconstructions vs 2D multi-slice fallback; (3) physics-guided unrolled network vs black-box CNN reconstructor; (4) with vs without uncertainty calibration penalty. Reader study: blinded CMR readers (&gt;=3) rate diagnostic acceptability on 5-point scale for a subset; acceptability threshold mean &gt;=4. Synthetic-real checks: KS test for displacement distributions (p&gt;0.05), deformation EPE &lt;=3 mm, SSIM drop &lt;=0.03.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Synthetic realism mismatch: simulated motion may not capture all clinical patterns (e.g., sighs, abrupt coughs), causing residual domain gap. Through-plane ambiguity: legacy 2D acquisitions with missing volumetric coverage limit reliable 3D deformation ground truth. Pathology and physiology heterogeneity: arrhythmias, paced rhythms, extreme heart rates, valvular disease, hypertrophy, and pediatric anatomy may break ED/ES detection and degrade model generalization. Annotation variability: inter-reader differences in contours and EF labels introduce label noise. Compute and scalability: physics-guided reconstructions and 3D training require substantial GPU memory and time, limiting rapid iteration. Privacy and access: site-specific consent, de-identification limits, and DUAs may restrict dataset completeness and external replication. Evaluation sensitivity: chosen numeric thresholds (EPE, SSIM, PSD cutoffs) may be dataset-dependent and require versioned updates. Leaderboard overfitting: repeated submissions and disclosure gaps risk data leakage and inflated performance that do not generalize.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