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memory_bank_wavelet_ultrasound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memory-bank and wavelet-based network for segmentation of long ultrasound videos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Adding per-wavelet-band memory banks to a spatiotemporal segmentation network that uses a differentiable discrete wavelet transform (DWT) will increase mean per-sequence Dice by &gt;=0.02 and reduce left-ventricular ejection-fraction (EF) MAE by &gt;=2 percentage points versus a strong frame-wise baseline on long ultrasound cine loops.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to ultrasound video segmentation fall into several classes: frame-level CNNs (e.g., U-Net variants) that process each frame independently and thus miss temporal context; recurrent or 3D-temporal models (ConvLSTM, 3D CNNs) that model short-term motion but struggle with very long sequences and memory; transformer-style models (e.g., TimeSformer) that can capture long-range attention but are compute-heavy and can under-emphasize high-frequency fine detail; and memory-augmented networks that store and retrieve prior features but are rarely aligned to multi-scale frequency decompositions. Wavelet or multiresolution preprocessing has been used to emphasize high-frequency edges and small structures, but learnable wavelet layers can suffer filter collapse and require careful regularization. Practical toolchain gaps include non-deterministic ANN index builds (FAISS) and lack of reproducible microbenchmarks. Limitations across prior work are: limited long-term dependency modeling, flicker or temporal instability, poor small-object sensitivity, instability of learnable transform layers, and insufficient reproducibility of memory-retrieval components.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segmentation of long ultrasound cine loops where long-term temporal context and preservation of high-frequency fine details (thin walls, small objects) are both required. We propose a network that applies a differentiable discrete wavelet transform (DWT) along the temporal axis to produce low- and high-frequency temporal subbands, and associates a small, trainable memory bank with each subband to store and retrieve representative spatiotemporal features across a long sequence. The DWT separates slow, smooth changes from fast transients; the memory bank lets the model recall distant but relevant patterns. Main contributions are: (1) a per-band memory-bank architecture aligned to DWT subbands; (2) a validation protocol for learnable wavelet regularization and for memory determinism; and (3) reproducible baseline artifacts and microbenchmarks. We expect improved per-sequence Dice, reduced temporal flicker, and better small-object recall on long ultrasound videos while providing deterministic retrieval diagnostics and latency/throughput measurements for practical use.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curated long ultrasound cine loops with metadata; train/val/test split = 3000 / 300 / 500 sequences; reproducible 1,000-sequence shard for Week-8 baseline. Include diverse vendors, frame rates, and image qualities; annotate LV cavity, endocardial/epicardial borders, and small-structure masks. Baselines: frame U-Net, ConvLSTM temporal U-Net, TimeSformer (video transformer). Proposed model: MBW-Net = temporal DWT + per-band memory banks + spatiotemporal fusion head. Training setup: AdamW, base LR=1e-4, weight decay=1e-5, batch=4 sequences (grad-accum=8 for effective batch=32), mixed precision, seeds = [42,2024,7]; confirmatory runs use 5 seeds, exploratory 3 seeds. DWT ablation: fixed Daubechies D4, Haar, and learnable filters with regularization grid {0,1e-4,1e-3,1e-2} on orthogonality/vanishing moments. Memory ablation matrix: capacities ∈ {64,128,256} entries per bank, key dim {32,64}, value dim {64,128}, top-k ∈ {4,8,16}, soft-read vs hard Gumbel-TopK, PQ compression vs linear projection. FAISS microbench: HNSW M ∈ {16,32}, efConstruction ∈ {200,500}, efSearch ∈ {50,200}; report median/p90/p99 latency and throughput at key counts {1k,10k,100k} using fixed RNG seeds and A100 hardware. Metrics: spatial Dice, IoU, boundary F-measure, 95% Hausdorff per frame and per sequence; temporal: flicker index = mean_t(1−IoU(M_t,M_{t+1})), temporal stability = 1−(std_t(Dice)/mean_t(Dice)), cycle-level Dice, boundary drift across cycles; clinical: EF MAE (ED/ES selection defined as max/min LV volume per cycle), Bland-Altman bias and limits; efficiency/robustness: ms/frame latency, frames/s throughput, memory hit-rate, attention entropy; uncertainty: ECE (10 bins), Brier score, expected human-review load under gating thresholds. Statistical tests: paired comparisons vs frame U-Net using Wilcoxon or paired t-test (as appropriate), Holm–Bonferroni for primary hypotheses, bootstrap 95% CIs (block bootstrap for temporal metrics). Power target: detect Dice Δ=0.02 with σ=0.06 → ~75–100 paired sequences; prespecify subgroup analyses and minimal detectable effects. Ablations: (1) DWT fixed vs learnable and reg grid; (2) per-band vs shared memory; (3) capacity/key/value dim sweeps; (4) read-mode (soft vs hard) and PQ compression; report cache-hit vs segmentation-performance curves. Reproducibility: publish Docker image digest, Hydra config, WebDataset shard, FAISS indices, unit tests, one-command reproduce script, and seeds; CI smoke test reproduces checkpoint bitwise across hosts.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learnable DWT filters may collapse (lose orthogonality) causing information leakage between bands; memory-bank collapse or runaway writes can reduce diversity and degrade retrieval. Explain: DWT is a wavelet transform that splits signals into slow and fast parts; collapse means learned filters no longer behave like wavelets. Data/evaluation biases: annotations may be inconsistent across vendors or low-quality frames, producing biased estimates; small-object masks (thin walls) have low pixel counts and yield high metric variance. Scalability and compute: MBW-Net training is compute-intensive (estimate 300–500 GPU-hr per full run), and FAISS ANN builds may be non-deterministic unless forced single-threaded; high-key indexes increase retrieval latency and memory. Generalization limits: model may overfit to vendor-specific speckle patterns and fail on out-of-distribution devices or views. Determinism tradeoffs: enforcing torch.use_deterministic_algorithms reduces available kernels and can slow training. Regulatory/clinical limits: metric gains (Dice +0.02) may not map directly to clinical benefit for all endpoints and human-review burden from uncertainty gating may be nontrivial. Evaluation limits: subgroup analyses may be under-powered if subgroup sizes are small, limiting conclusions for demographic or device strata.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