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disentangled_anatomy_pseudohealthy_mri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Disentangled anatomy learning with edge-to-image pseudo-healthy reconstruction for unsupervised anomaly detection in brain MRI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Disentangling anatomical structure from imaging-specific factors and using edge-derived anatomical representations to reconstruct pseudo-healthy MRIs causes higher per-patient sensitivity at 1 false positive per patient and better lesion localization (higher per-lesion sensitivity and Dice) than reconstruction-based unsupervised methods without such disentanglement.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Unsupervised MRI anomaly detection commonly uses reconstruction-based models (autoencoders, variational autoencoders, GANs) that flag areas with high reconstruction error as anomalies. Prior pseudo-healthy synthesis methods generate healthy-looking images to detect abnormalities by comparison, and some approaches attempt latent disentanglement to separate factors such as shape and appearance. Limitations of existing methods include: leakage of pathology into anatomical latents (so the model reproduces lesions), poor lesion localization (blurred reconstructions, high false positives), sensitivity to scanner/site shifts and MRI sequences, limited evaluation of synthetic-lesion realism, and insufficient reproducibility across seeds and sites. Few prior works combine strong anatomical priors (ROI/atlas guidance), explicit one-hot or discrete anatomical codes, and edge-based high-frequency reconstruction to preserve structure while suppressing abnormal residuals. Privacy-preserving federated training and rigorous pre-registered statistical evaluation are also underexplored in this context.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unsupervised detection of brain abnormalities in MRI by separating anatomical structure from imaging-specific factors and reconstructing high-quality pseudo-healthy images from edge-derived anatomical cues. The proposed approach learns a disentangled representation with an anatomy latent (spatial map) constrained by atlas-based ROI priors and a differentiable one-hot encoding, and an imaging latent capturing modality- and scanner-specific appearance. An edge-to-image restoration module reconstructs full MR images from high-frequency edge maps conditioned on anatomy and imaging latents, producing pseudo-healthy images that reduce abnormal residuals while preserving fine structure. Main contributions are: (1) an anatomy-constrained disentanglement module that minimizes pathology leakage into anatomy codes, (2) an edge-to-image restoration network that restores structural detail from edges, and (3) a pre-registered evaluation protocol including reader studies, federated/DP experiments, and harmonization safety tests. Expected outcome: improved per-patient sensitivity and localization accuracy for unsupervised anomaly detection, with better multi-center and multi-modality robustness and reproducible evaluation procedures. (Edge: high-frequency boundaries; one-hot: discrete voxel labels.)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multi-site brain MRI aggregated target 5,000–10,000 scans across ≥5 centers; per-site minimum 500 scans; sequences: T1-weighted, T2-weighted, FLAIR, optional DWI/ADC where available; curated evaluation subsets: real-only holdout ≥500 pathologic cases with ≥100 examples per major pathology class; lesion-level segmentations ≥200 cases for localization benchmarking. Baselines: (A) plain autoencoder reconstruction, (B) VAE reconstruction, (C) GAN-based pseudo-healthy synthesis (cycle-consistent), (D) reconstruction-based anomaly scoring with no disentanglement, (E) disentanglement ablated variant without atlas L_anat. Primary endpoint: per-patient sensitivity at FPPS=1 (FPPS = false positives per scan). Secondary endpoints: AUPR (area under precision-recall; useful for rare positives), per-lesion sensitivity stratified by lesion size bins (≤5 mm, 6–15 mm, &gt;15 mm), Dice/IoU on segmentation subset, ECE (expected calibration error) and Brier score. Statistical tests: site-stratified bootstrap for 95% CIs, DeLong for AUC, bootstrap for AUPR CIs, McNemar for paired binary tests, mixed-effects logistic regression for site/patient clustering; multiplicity control via Benjamini–Hochberg. Training setup: UNet/ResNet backbone with spatial anatomy latent (e.g., 16×16×16×C) and global imaging latent (128-d); optimizer Adam lr=1e-4, batch size 1–4, epochs 200–400; repeat each experiment with ≥5 fixed seeds and pre-register nested variance decomposition (seed×site×run). Ablations: remove L_anat (no atlas loss), remove L_edge (no edge loss), no ROI-masked reconstruction, vary zA capacity (small/medium/large bottlenecks), synthetic-augmentation on/off, DP-SGD privacy sweep (epsilons {0.5,1,2,3,5,10,∞}) and FedProx mu sweep {0,0.01,0.1}. Reader study: blinded Turing test with 6 neuroradiologists, 200 cases (100 real/100 synthetic) to assess clinical indistinguishability and management-change non-inferiority (10% margin) using paired McNemar analysis and power target 80%. Harmonization tests: inject synthetic lesions pre/post-ComBat and measure per-ROI SNR, AUC and Wasserstein per-ROI distance; require reporting of results per-site and per-seed. Reproducibility: provide containerized pipelines, versioned artifacts, and analysis notebooks to re-run primary endpoint evaluation.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pathology leakage into anatomy latent causing missed anomalies; poor reconstruction fidelity producing blurred pseudo-healthy images; instability across random seeds leading to high metric variance. Data and evaluation biases: limited representation of rare pathologies or age groups causing poor generalization; synthetic lesions not matching real lesion textures leading to misleading training effects. Federated/DP constraints: significant utility loss at strong privacy settings (low epsilon) or with highly unequal site sizes and stragglers; dependency on site SGX/GPU and network availability. Scalability and compute: long training time and large storage (several TB) for 5k–10k scans; federated rounds increase wall-clock time. Limits to generalization: modality-specific lesion signatures (e.g., DWI lesions) may not be captured by an edge-based anatomy prior; cross-center scanner physics may induce covariate shifts that harmonization cannot fully correct. Evaluation limits: reader study power depends on reader variability and case mix; calibration and CI estimates require sufficient lesion counts per stratum for stable inference.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