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Diffusion-based multimodal foundation model pretraining for multi-task lung CT imaging and diagnosis</w:t>
      </w:r>
    </w:p>
    <w:p>
      <w:r>
        <w:t xml:space="preserve"> </w:t>
      </w:r>
    </w:p>
    <w:p>
      <w:pPr>
        <w:pStyle w:val="Heading2"/>
      </w:pPr>
      <w:r>
        <w:t>Short Hypothesis</w:t>
      </w:r>
    </w:p>
    <w:p>
      <w:r>
        <w:t>Pretraining a lung CT foundation model using diffusion-based self-supervision jointly on CT volumes and clinical metadata across a curated multi-center dataset causes statistically significant improvements in downstream task performance (detection, segmentation, reconstruction, and prognosis) compared to models pretrained without diffusion or without clinical metadata.</w:t>
      </w:r>
    </w:p>
    <w:p>
      <w:r>
        <w:t xml:space="preserve"> </w:t>
      </w:r>
    </w:p>
    <w:p>
      <w:pPr>
        <w:pStyle w:val="Heading2"/>
      </w:pPr>
      <w:r>
        <w:t>Related Work</w:t>
      </w:r>
    </w:p>
    <w:p>
      <w:r>
        <w:t>Existing approaches include supervised models trained per task, self-supervised learning (SSL) methods such as contrastive learning for medical images, encoder-decoder U-Net families (including transformer-block U-Nets) for segmentation and reconstruction, and recent uses of diffusion models for image generation or denoising. Multi-center harmonization methods (e.g., ComBat, histogram matching) address scanner/site variation but often operate at feature level and can remove pathological signal. Prior work rarely combines large-scale diffusion pretraining with joint imaging-plus-clinical encoding, and most models are task-specific, suffer from labeled-data scarcity, limited generative capacity, poor spatial calibration, and weak uncertainty quantification. There is limited rigorous evaluation of unified foundation models that can be adapted to many CT tasks and validated across multiple sites with phantom-backed acceptance criteria and regulatory-grade metrics.</w:t>
      </w:r>
    </w:p>
    <w:p>
      <w:r>
        <w:t xml:space="preserve"> </w:t>
      </w:r>
    </w:p>
    <w:p>
      <w:pPr>
        <w:pStyle w:val="Heading2"/>
      </w:pPr>
      <w:r>
        <w:t>Abstract</w:t>
      </w:r>
    </w:p>
    <w:p>
      <w:r>
        <w:t>We propose a lung CT vision foundation model pretrained with diffusion-based self-supervision and joint encoding of imaging plus clinical metadata on a large, curated multi-center dataset. Diffusion-based pretraining means the model learns to denoise or generate realistic CT volumes, which improves the learned image representation. Joint encoding means clinical variables (age, smoking history, labs) are embedded alongside images during pretraining. The main contribution is a single pretrained model that can be adapted with limited labeled data to multiple downstream tasks: CT enhancement, virtual CTA, sparse-view reconstruction, lesion segmentation, diagnosis, prognosis, and 3D surgical navigation. Expected outcomes are improved sample efficiency (fewer labeled cases needed), better cross-site robustness, calibrated voxel-wise uncertainty maps, and consolidated artifacts and provenance for regulatory evidence. This approach aims to reduce label dependency and provide a reproducible foundation for diverse lung CT clinical tools.</w:t>
      </w:r>
    </w:p>
    <w:p>
      <w:r>
        <w:t xml:space="preserve"> </w:t>
      </w:r>
    </w:p>
    <w:p>
      <w:pPr>
        <w:pStyle w:val="Heading2"/>
      </w:pPr>
      <w:r>
        <w:t>Experiments</w:t>
      </w:r>
    </w:p>
    <w:p>
      <w:r>
        <w:t>Datasets: use the curated multi-center lungCT-28M pretraining corpus (unlabeled CT volumes and linked clinical metadata), labeled fine-tuning sets from multiple centers for each task (nodule detection, segmentation, CTA simulation, sparse-view reconstruction, prognosis), held-out multi-site test set and external independent test sites, and phantom datasets (ACR and CatPhan) for harmonization validation. Baselines: (1) task-specific supervised models trained from scratch, (2) ImageNet-pretrained encoders with task heads, (3) contrastive SSL pretraining (image-only), (4) diffusion pretraining on images only (no metadata), (5) multimodal pretraining without diffusion. Metrics: detection AUC, sensitivity at fixed FP/scan (e.g., sens@1FP), segmentation Dice and 95% Hausdorff distance (HD95), reconstruction RMSE/PSNR/SSIM, virtual-CTA vessel contrast-to-noise ratio, prognosis AUC and calibration (ECE and Brier score), voxel-wise ECE (spatial calibration), uncertainty evaluation (AUROC of uncertainty vs error), and inference latency. Experimental setup: pretrain model architecture (U-Net with transformer blocks) on lungCT-28M for fixed compute budget; fine-tune separate task heads with equal labeled budgets (e.g., N=500, 2k, 10k per task arms); use deterministic seeds and containerized pipelines for reproducibility. Calibration: evaluate ensembles (3 vs 5 members) + post-hoc temperature scaling and isotonic fallback. Statistical tests: paired bootstrap CIs and DeLong tests for AUC differences; predefine significance α=0.05 and report effect sizes. Ablations: (A) diffusion vs contrastive vs none, (B) multimodal (image+metadata) vs image-only, (C) harmonization strategy arms: unharmonized, feature-level ComBat, raw-intensity harmonized per SOP, (D) pretrain scale ablation (subset sizes). Reader study: 30 radiologists, within-reader crossover, 200 mixed cases to assess time, accuracy, and trust with and without model explanations. Report per-site generalization and phantom harmonization pass/fail metrics.</w:t>
      </w:r>
    </w:p>
    <w:p>
      <w:r>
        <w:t xml:space="preserve"> </w:t>
      </w:r>
    </w:p>
    <w:p>
      <w:pPr>
        <w:pStyle w:val="Heading2"/>
      </w:pPr>
      <w:r>
        <w:t>Risk Factors And Limitations</w:t>
      </w:r>
    </w:p>
    <w:p>
      <w:r>
        <w:t>Domain shift: model may fail on unseen scanner vendors, protocols, CTA timing, pediatric or truncated scans. Label bias: multi-reader disagreement and noisy labels can degrade fine-tuning. Harmonization risk: raw-intensity adjustments may reduce true lesion contrast. Computational cost: diffusion pretraining and transformer U-Nets require large compute and memory, limiting reproducibility for small labs. Privacy constraints: federated or DP schemes may reduce utility; quantifying ε,δ impacts is required. Calibration limits: voxel-wise calibration may not perfectly reflect clinical-risk thresholds. Rare cases and low-prevalence findings: insufficient positives reduce statistical power and generalization. Regulatory and clinical integration: deployment constraints (latency, PACS integration, audit logging) and requirement for PMCF data may delay clinical 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