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remote_personalized_nutrition_rct</w:t>
      </w:r>
    </w:p>
    <w:p>
      <w:r>
        <w:t xml:space="preserve"> </w:t>
      </w:r>
    </w:p>
    <w:p>
      <w:pPr>
        <w:pStyle w:val="Heading2"/>
      </w:pPr>
      <w:r>
        <w:t>Title</w:t>
      </w:r>
    </w:p>
    <w:p>
      <w:r>
        <w:t>A fully remote randomized controlled trial comparing personalized versus generic nutrition advice, with and without personalized food boxes, for adults with overweight or obesity</w:t>
      </w:r>
    </w:p>
    <w:p>
      <w:r>
        <w:t xml:space="preserve"> </w:t>
      </w:r>
    </w:p>
    <w:p>
      <w:pPr>
        <w:pStyle w:val="Heading2"/>
      </w:pPr>
      <w:r>
        <w:t>Short Hypothesis</w:t>
      </w:r>
    </w:p>
    <w:p>
      <w:r>
        <w:t>Adults with overweight or obesity randomized to fully remote personalized nutrition advice will have greater percent weight loss at 12 months than those randomized to generic nutrition advice.</w:t>
      </w:r>
    </w:p>
    <w:p>
      <w:r>
        <w:t xml:space="preserve"> </w:t>
      </w:r>
    </w:p>
    <w:p>
      <w:pPr>
        <w:pStyle w:val="Heading2"/>
      </w:pPr>
      <w:r>
        <w:t>Related Work</w:t>
      </w:r>
    </w:p>
    <w:p>
      <w:r>
        <w:t>Prior work includes digital weight‑loss programs, remote nutrition interventions, and personalization algorithms that adapt advice to users. Existing approaches show modest average weight loss but have limitations: many studies are small or short, rely on self-reported weight (which is biased), lack device validation for home measurements, and seldom integrate biosamples for objective measures. Personalization methods have been applied but often lack transparent governance (auditing, fairness checks) and reproducibility. Studies rarely prespecify robust missing‑data (MNAR) sensitivity analyses tied to operational retention strategies. Trials that add food provision report higher adherence but do not isolate the incremental effect of personalized advice versus provided food. Overall, unresolved issues are: (1) feasibility of fully remote self‑measured anthropometrics with validated QA, (2) ability of self‑collected data to detect true anthropometric change, (3) reproducible ML governance and fairness testing in trial settings, and (4) clear handling of missing data and biosample quality in remote RCTs.</w:t>
      </w:r>
    </w:p>
    <w:p>
      <w:r>
        <w:t xml:space="preserve"> </w:t>
      </w:r>
    </w:p>
    <w:p>
      <w:pPr>
        <w:pStyle w:val="Heading2"/>
      </w:pPr>
      <w:r>
        <w:t>Abstract</w:t>
      </w:r>
    </w:p>
    <w:p>
      <w:r>
        <w:t>We address whether a fully remote, digital personalized nutrition intervention can be delivered and evaluated for adults with overweight or obesity. We will run a three‑arm randomized trial comparing (A) generic nutrition advice, (B) personalized digital advice, and (C) personalized advice plus personalized food boxes. The approach tests feasibility of do‑it‑yourself anthropometrics (self‑measured weight and waist), integrates self‑collected biosamples, and uses versioned ML personalization with hard safety rules. Main contributions are: (1) an end‑to‑end, standards‑based pipeline for remote data capture and device calibration; (2) a prespecified statistical and MNAR sensitivity plan to assess weight change from self‑measured data; and (3) operationalized ML governance and fairness checks tied to trial decisions. Expected outcomes are evidence on feasibility (data completeness, device accuracy), the ability of self‑collected data to detect intervention effects, and comparative efficacy of personalized versus generic advice. Results will inform reproducible methods for remote nutrition trials and responsible ML personalization in clinical research.</w:t>
      </w:r>
    </w:p>
    <w:p>
      <w:r>
        <w:t xml:space="preserve"> </w:t>
      </w:r>
    </w:p>
    <w:p>
      <w:pPr>
        <w:pStyle w:val="Heading2"/>
      </w:pPr>
      <w:r>
        <w:t>Experiments</w:t>
      </w:r>
    </w:p>
    <w:p>
      <w:r>
        <w:t>Design: randomized, parallel, three‑arm trial. Sample: total N=200 adults aged 18–65 with BMI &gt;=25 and &lt;=40, smartphone access, remote consent. Randomization: 1:1:1 to (1) generic advice, (2) personalized advice (algorithmic), (3) personalized advice + personalized food box. Pilot: N≈30 before full launch for device calibration and SOP checks. Primary outcome: percent weight change at 12 months measured from participant self‑measured weight (daily or weekly device sync). Secondary outcomes: absolute weight change, waist circumference change, diet quality (HEI score), percent meeting protein target, DBS analyte yield and biomarkers. Baselines: collect demographics, baseline weight, diet history, psychosocial scales. Baseline covariates and stratification: baseline weight, sex, age group, enrollment site. Statistical analysis: ANCOVA model with dependent variable percent weight change, predictors: treatment indicators, baseline weight (continuous), sex, age, and prespecified interactions; report adjusted mean differences and 95% CIs. Missing data: multiple imputation by chained equations (MICE) m=50 (MICE is an iterative method to fill missing values), software R mice v3.x; primary MNAR sensitivity: pattern‑mixture delta adjustment with delta=+2% (sweep 0% to +6% in 1% steps). Blinded sample‑size re‑estimation if pooled SD&gt;8.5% using blinded pooled variance formula; cap recruitment increase ≤50%. Device validation: pilot N≥30 paired clinic vs home measures to estimate device bias (mean bias and SD); report bias and apply calibration factors. ML evaluation: compare algorithmic personalization to rule‑based personalization (ablation) and to generic arm. Metrics for ML components: recommendation AUC for predicting short‑term adherence (AUC is area under the ROC curve, a measure of discrimination), calibration‑in‑the‑large (difference between predicted and observed averages), and recommendation‑rate parity (difference in percent receiving a recommendation). Fairness thresholds: AUC parity ±0.03, calibration difference ≤0.02, recommendation‑rate parity ±5 percentage points; evaluate for sex, BMI category, and race/ethnicity. Engagement metrics: app session frequency, self‑monitoring completeness, retention at 3/6/12 months. Comparisons: primary contrast personalized (arms 2+3 combined if prespecified) vs generic; secondary contrast arm3 vs arm2 to isolate food‑box effect. Ablations: (a) personalization algorithm vs static rule‑based personalization, (b) with vs without food box, (c) with vs without rule‑engine safety enforcement (log only). Software and reproducibility: analysis scripts in R/Python containerized (Docker), seed fixed, code versioned in Git. Evaluation reporting: report point estimates, CIs, p‑values, and preplanned MNAR sensitivity ranges. All fairness and drift checks run quarterly and after pilot; report subgroup Ns and power for each test.</w:t>
      </w:r>
    </w:p>
    <w:p>
      <w:r>
        <w:t xml:space="preserve"> </w:t>
      </w:r>
    </w:p>
    <w:p>
      <w:pPr>
        <w:pStyle w:val="Heading2"/>
      </w:pPr>
      <w:r>
        <w:t>Risk Factors And Limitations</w:t>
      </w:r>
    </w:p>
    <w:p>
      <w:r>
        <w:t>Technical failures: device integration bugs, data sync loss, or vendor API changes that corrupt time‑series. Measurement error: home scales and tape measures may have bias and variability that reduce power or cause misclassification. Missing data: differential dropout by arm or subgroup can bias estimates; MNAR assumptions may still not capture real missingness mechanisms. Sample size and power limits: with N≈67 per arm (200 total), subgroup and fairness tests may be underpowered, especially for intersectional groups. ML risks: personalization models may drift, amplify biases, or produce recommendations with unequal effects across groups; small subgroup Ns limit fairness audits. Biosample constraints: low DBS return or poor analyte yield reduce ability to use biomarkers. Generalizability: results apply to smartphone‑using adults willing to self‑measure and may not extend to populations with low digital access. Ethical/safety bounds: automated personalization could suggest large changes if rules fail; reliance on rule enforcement is critical. Scalability: cloud and ML pipelines require operational resources; compute and monitoring costs may limit wide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